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widowControl w:val="0"/>
        <w:spacing w:after="0" w:before="195" w:line="218" w:lineRule="auto"/>
        <w:ind w:left="0" w:right="-40.8661417322827" w:firstLine="0"/>
        <w:jc w:val="center"/>
        <w:rPr>
          <w:rFonts w:ascii="Open Sans" w:cs="Open Sans" w:eastAsia="Open Sans" w:hAnsi="Open Sans"/>
          <w:b w:val="1"/>
          <w:bCs w:val="1"/>
          <w:sz w:val="56"/>
          <w:szCs w:val="56"/>
        </w:rPr>
      </w:pPr>
      <w:r w:rsidDel="00000000" w:rsidR="00000000" w:rsidRPr="00000000">
        <w:rPr>
          <w:rFonts w:ascii="Open Sans" w:cs="Open Sans" w:eastAsia="Open Sans" w:hAnsi="Open Sans"/>
          <w:b w:val="1"/>
          <w:bCs w:val="1"/>
          <w:color w:val="233745"/>
          <w:sz w:val="56"/>
          <w:szCs w:val="56"/>
          <w:rtl w:val="0"/>
        </w:rPr>
        <w:t xml:space="preserve">MODEL DATA GOVERNANCE CHARTER</w:t>
      </w:r>
      <w:r w:rsidDel="00000000" w:rsidR="00000000" w:rsidRPr="00000000">
        <w:rPr>
          <w:rtl w:val="0"/>
        </w:rPr>
      </w:r>
    </w:p>
    <w:p w:rsidR="00000000" w:rsidDel="00000000" w:rsidP="00000000" w:rsidRDefault="00000000" w:rsidRPr="00000000" w14:paraId="00000002">
      <w:pPr>
        <w:widowControl w:val="0"/>
        <w:spacing w:before="177" w:line="240" w:lineRule="auto"/>
        <w:ind w:left="0" w:right="-40.8661417322827" w:firstLine="0"/>
        <w:jc w:val="center"/>
        <w:rPr>
          <w:rFonts w:ascii="Open Sans" w:cs="Open Sans" w:eastAsia="Open Sans" w:hAnsi="Open Sans"/>
          <w:i w:val="1"/>
          <w:iCs w:val="1"/>
          <w:sz w:val="36"/>
          <w:szCs w:val="36"/>
        </w:rPr>
      </w:pPr>
      <w:r w:rsidDel="00000000" w:rsidR="00000000" w:rsidRPr="00000000">
        <w:rPr>
          <w:rFonts w:ascii="Open Sans" w:cs="Open Sans" w:eastAsia="Open Sans" w:hAnsi="Open Sans"/>
          <w:i w:val="1"/>
          <w:iCs w:val="1"/>
          <w:color w:val="233745"/>
          <w:sz w:val="36"/>
          <w:szCs w:val="36"/>
          <w:rtl w:val="0"/>
        </w:rPr>
        <w:t xml:space="preserve">For Startups and Civil Society Organisations (CSOs)</w:t>
      </w:r>
      <w:r w:rsidDel="00000000" w:rsidR="00000000" w:rsidRPr="00000000">
        <w:rPr>
          <w:rtl w:val="0"/>
        </w:rPr>
      </w:r>
    </w:p>
    <w:p w:rsidR="00000000" w:rsidDel="00000000" w:rsidP="00000000" w:rsidRDefault="00000000" w:rsidRPr="00000000" w14:paraId="00000003">
      <w:pPr>
        <w:widowControl w:val="0"/>
        <w:spacing w:line="240" w:lineRule="auto"/>
        <w:ind w:left="0" w:right="-40.8661417322827" w:firstLine="0"/>
        <w:rPr>
          <w:rFonts w:ascii="Open Sans" w:cs="Open Sans" w:eastAsia="Open Sans" w:hAnsi="Open Sans"/>
          <w:i w:val="1"/>
          <w:iCs w:val="1"/>
          <w:sz w:val="24"/>
          <w:szCs w:val="24"/>
        </w:rPr>
      </w:pPr>
      <w:r w:rsidDel="00000000" w:rsidR="00000000" w:rsidRPr="00000000">
        <w:rPr>
          <w:rtl w:val="0"/>
        </w:rPr>
      </w:r>
    </w:p>
    <w:p w:rsidR="00000000" w:rsidDel="00000000" w:rsidP="00000000" w:rsidRDefault="00000000" w:rsidRPr="00000000" w14:paraId="00000004">
      <w:pPr>
        <w:widowControl w:val="0"/>
        <w:spacing w:before="54" w:line="240" w:lineRule="auto"/>
        <w:ind w:left="0" w:right="-40.8661417322827" w:firstLine="0"/>
        <w:rPr>
          <w:rFonts w:ascii="Open Sans" w:cs="Open Sans" w:eastAsia="Open Sans" w:hAnsi="Open Sans"/>
          <w:i w:val="1"/>
          <w:i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before="54" w:line="240" w:lineRule="auto"/>
        <w:ind w:left="0" w:right="-40.8661417322827" w:firstLine="0"/>
        <w:rPr>
          <w:rFonts w:ascii="Open Sans" w:cs="Open Sans" w:eastAsia="Open Sans" w:hAnsi="Open Sans"/>
          <w:i w:val="1"/>
          <w:iCs w:val="1"/>
          <w:sz w:val="24"/>
          <w:szCs w:val="24"/>
        </w:rPr>
      </w:pPr>
      <w:r w:rsidDel="00000000" w:rsidR="00000000" w:rsidRPr="00000000">
        <w:rPr>
          <w:rtl w:val="0"/>
        </w:rPr>
      </w:r>
    </w:p>
    <w:p w:rsidR="00000000" w:rsidDel="00000000" w:rsidP="00000000" w:rsidRDefault="00000000" w:rsidRPr="00000000" w14:paraId="00000006">
      <w:pPr>
        <w:widowControl w:val="0"/>
        <w:spacing w:line="312" w:lineRule="auto"/>
        <w:ind w:left="0" w:right="-40.8661417322827" w:firstLine="0"/>
        <w:jc w:val="both"/>
        <w:rPr>
          <w:rFonts w:ascii="Open Sans" w:cs="Open Sans" w:eastAsia="Open Sans" w:hAnsi="Open Sans"/>
          <w:sz w:val="24"/>
          <w:szCs w:val="24"/>
        </w:rPr>
      </w:pPr>
      <w:r w:rsidDel="00000000" w:rsidR="00000000" w:rsidRPr="00000000">
        <w:rPr>
          <w:rFonts w:ascii="Open Sans" w:cs="Open Sans" w:eastAsia="Open Sans" w:hAnsi="Open Sans"/>
          <w:color w:val="233745"/>
          <w:sz w:val="24"/>
          <w:szCs w:val="24"/>
          <w:rtl w:val="0"/>
        </w:rPr>
        <w:t xml:space="preserve">This is a starting template, not a finished policy. It draws on the Office of the Data Protection Commissioner, Kenya (ODPC) Draft Model County Data Protection Guidelines, the data protection principles in the Data Protection Act, 2019 (Kenya), ISO/IEC 38505-1 (the international standard for data governance), and standard data governance charter conventions, simplified and adapted for an organisation without a legal or compliance department.</w:t>
      </w:r>
      <w:r w:rsidDel="00000000" w:rsidR="00000000" w:rsidRPr="00000000">
        <w:rPr>
          <w:rtl w:val="0"/>
        </w:rPr>
      </w:r>
    </w:p>
    <w:p w:rsidR="00000000" w:rsidDel="00000000" w:rsidP="00000000" w:rsidRDefault="00000000" w:rsidRPr="00000000" w14:paraId="00000007">
      <w:pPr>
        <w:widowControl w:val="0"/>
        <w:spacing w:before="9" w:line="312" w:lineRule="auto"/>
        <w:ind w:left="0" w:right="-40.8661417322827" w:firstLine="0"/>
        <w:jc w:val="both"/>
        <w:rPr>
          <w:rFonts w:ascii="Open Sans" w:cs="Open Sans" w:eastAsia="Open Sans" w:hAnsi="Open Sans"/>
          <w:sz w:val="28"/>
          <w:szCs w:val="28"/>
        </w:rPr>
      </w:pPr>
      <w:r w:rsidDel="00000000" w:rsidR="00000000" w:rsidRPr="00000000">
        <w:rPr>
          <w:rFonts w:ascii="Open Sans" w:cs="Open Sans" w:eastAsia="Open Sans" w:hAnsi="Open Sans"/>
          <w:color w:val="233745"/>
          <w:sz w:val="24"/>
          <w:szCs w:val="24"/>
          <w:rtl w:val="0"/>
        </w:rPr>
        <w:t xml:space="preserve">Replace every [bracketed field] with your own detail, delete what does not apply, and have it approved by whoever leads your organisation.</w:t>
      </w:r>
      <w:r w:rsidDel="00000000" w:rsidR="00000000" w:rsidRPr="00000000">
        <w:rPr>
          <w:rtl w:val="0"/>
        </w:rPr>
      </w:r>
    </w:p>
    <w:p w:rsidR="00000000" w:rsidDel="00000000" w:rsidP="00000000" w:rsidRDefault="00000000" w:rsidRPr="00000000" w14:paraId="00000008">
      <w:pPr>
        <w:widowControl w:val="0"/>
        <w:spacing w:line="240" w:lineRule="auto"/>
        <w:ind w:left="0" w:right="-40.8661417322827" w:firstLine="0"/>
        <w:rPr>
          <w:rFonts w:ascii="Open Sans" w:cs="Open Sans" w:eastAsia="Open Sans" w:hAnsi="Open Sans"/>
          <w:sz w:val="28"/>
          <w:szCs w:val="28"/>
        </w:rPr>
      </w:pPr>
      <w:r w:rsidDel="00000000" w:rsidR="00000000" w:rsidRPr="00000000">
        <w:rPr>
          <w:rtl w:val="0"/>
        </w:rPr>
      </w:r>
    </w:p>
    <w:tbl>
      <w:tblPr>
        <w:tblStyle w:val="Table1"/>
        <w:tblW w:w="898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85"/>
        <w:tblGridChange w:id="0">
          <w:tblGrid>
            <w:gridCol w:w="8985"/>
          </w:tblGrid>
        </w:tblGridChange>
      </w:tblGrid>
      <w:tr>
        <w:trPr>
          <w:cantSplit w:val="0"/>
          <w:tblHeader w:val="0"/>
        </w:trPr>
        <w:tc>
          <w:tcPr>
            <w:shd w:fill="00abd6" w:val="clear"/>
            <w:tcMar>
              <w:top w:w="100.0" w:type="dxa"/>
              <w:left w:w="100.0" w:type="dxa"/>
              <w:bottom w:w="100.0" w:type="dxa"/>
              <w:right w:w="100.0" w:type="dxa"/>
            </w:tcMar>
            <w:vAlign w:val="top"/>
          </w:tcPr>
          <w:p w:rsidR="00000000" w:rsidDel="00000000" w:rsidP="00000000" w:rsidRDefault="00000000" w:rsidRPr="00000000" w14:paraId="00000009">
            <w:pPr>
              <w:pStyle w:val="Heading3"/>
              <w:keepNext w:val="0"/>
              <w:keepLines w:val="0"/>
              <w:widowControl w:val="0"/>
              <w:spacing w:after="0" w:before="1" w:line="240" w:lineRule="auto"/>
              <w:ind w:left="0" w:right="-40.8661417322827" w:firstLine="0"/>
              <w:rPr>
                <w:rFonts w:ascii="Open Sans" w:cs="Open Sans" w:eastAsia="Open Sans" w:hAnsi="Open Sans"/>
                <w:b w:val="1"/>
                <w:bCs w:val="1"/>
                <w:color w:val="000000"/>
              </w:rPr>
            </w:pPr>
            <w:bookmarkStart w:colFirst="0" w:colLast="0" w:name="_kbfy7r7ky687" w:id="0"/>
            <w:bookmarkEnd w:id="0"/>
            <w:r w:rsidDel="00000000" w:rsidR="00000000" w:rsidRPr="00000000">
              <w:rPr>
                <w:rFonts w:ascii="Open Sans" w:cs="Open Sans" w:eastAsia="Open Sans" w:hAnsi="Open Sans"/>
                <w:b w:val="1"/>
                <w:bCs w:val="1"/>
                <w:color w:val="fbfbfb"/>
                <w:rtl w:val="0"/>
              </w:rPr>
              <w:t xml:space="preserve">Before You Begin:</w:t>
            </w:r>
            <w:r w:rsidDel="00000000" w:rsidR="00000000" w:rsidRPr="00000000">
              <w:rPr>
                <w:rtl w:val="0"/>
              </w:rPr>
            </w:r>
          </w:p>
          <w:p w:rsidR="00000000" w:rsidDel="00000000" w:rsidP="00000000" w:rsidRDefault="00000000" w:rsidRPr="00000000" w14:paraId="0000000A">
            <w:pPr>
              <w:widowControl w:val="0"/>
              <w:spacing w:before="128" w:line="240" w:lineRule="auto"/>
              <w:ind w:left="0" w:right="-40.8661417322827" w:firstLine="0"/>
              <w:rPr>
                <w:rFonts w:ascii="Open Sans" w:cs="Open Sans" w:eastAsia="Open Sans" w:hAnsi="Open Sans"/>
                <w:b w:val="1"/>
                <w:bCs w:val="1"/>
                <w:sz w:val="26"/>
                <w:szCs w:val="26"/>
              </w:rPr>
            </w:pPr>
            <w:r w:rsidDel="00000000" w:rsidR="00000000" w:rsidRPr="00000000">
              <w:rPr>
                <w:rFonts w:ascii="Open Sans" w:cs="Open Sans" w:eastAsia="Open Sans" w:hAnsi="Open Sans"/>
                <w:b w:val="1"/>
                <w:bCs w:val="1"/>
                <w:color w:val="fbfbfb"/>
                <w:sz w:val="26"/>
                <w:szCs w:val="26"/>
                <w:rtl w:val="0"/>
              </w:rPr>
              <w:t xml:space="preserve">Please Read | Delete this when done with developing your Charter</w:t>
            </w:r>
            <w:r w:rsidDel="00000000" w:rsidR="00000000" w:rsidRPr="00000000">
              <w:rPr>
                <w:rtl w:val="0"/>
              </w:rPr>
            </w:r>
          </w:p>
          <w:p w:rsidR="00000000" w:rsidDel="00000000" w:rsidP="00000000" w:rsidRDefault="00000000" w:rsidRPr="00000000" w14:paraId="0000000B">
            <w:pPr>
              <w:widowControl w:val="0"/>
              <w:spacing w:before="1" w:line="312" w:lineRule="auto"/>
              <w:ind w:left="0" w:right="-40.8661417322827" w:firstLine="0"/>
              <w:jc w:val="both"/>
              <w:rPr>
                <w:rFonts w:ascii="Open Sans" w:cs="Open Sans" w:eastAsia="Open Sans" w:hAnsi="Open Sans"/>
                <w:color w:val="233745"/>
              </w:rPr>
            </w:pPr>
            <w:r w:rsidDel="00000000" w:rsidR="00000000" w:rsidRPr="00000000">
              <w:rPr>
                <w:rtl w:val="0"/>
              </w:rPr>
            </w:r>
          </w:p>
          <w:p w:rsidR="00000000" w:rsidDel="00000000" w:rsidP="00000000" w:rsidRDefault="00000000" w:rsidRPr="00000000" w14:paraId="0000000C">
            <w:pPr>
              <w:widowControl w:val="0"/>
              <w:spacing w:before="1" w:line="312" w:lineRule="auto"/>
              <w:ind w:left="0" w:right="-40.8661417322827" w:firstLine="0"/>
              <w:jc w:val="both"/>
              <w:rPr>
                <w:rFonts w:ascii="Open Sans" w:cs="Open Sans" w:eastAsia="Open Sans" w:hAnsi="Open Sans"/>
              </w:rPr>
            </w:pPr>
            <w:r w:rsidDel="00000000" w:rsidR="00000000" w:rsidRPr="00000000">
              <w:rPr>
                <w:rFonts w:ascii="Open Sans" w:cs="Open Sans" w:eastAsia="Open Sans" w:hAnsi="Open Sans"/>
                <w:color w:val="233745"/>
                <w:rtl w:val="0"/>
              </w:rPr>
              <w:t xml:space="preserve">A charter is different from a policy. A policy sets out day-to-day rules (how long we keep data, who can access what). A charter sits above that: it states why data governance matters to your organisation, who has authority to set and change the rules, and commits leadership to resourcing it. Most organisations need both; this document is the charter, and Section 5 points you to the individual policies and tools that sit underneath it.</w:t>
            </w:r>
            <w:r w:rsidDel="00000000" w:rsidR="00000000" w:rsidRPr="00000000">
              <w:rPr>
                <w:rtl w:val="0"/>
              </w:rPr>
            </w:r>
          </w:p>
          <w:p w:rsidR="00000000" w:rsidDel="00000000" w:rsidP="00000000" w:rsidRDefault="00000000" w:rsidRPr="00000000" w14:paraId="0000000D">
            <w:pPr>
              <w:widowControl w:val="0"/>
              <w:spacing w:before="6" w:line="312" w:lineRule="auto"/>
              <w:ind w:left="0" w:right="-40.8661417322827" w:firstLine="0"/>
              <w:jc w:val="both"/>
              <w:rPr>
                <w:rFonts w:ascii="Open Sans" w:cs="Open Sans" w:eastAsia="Open Sans" w:hAnsi="Open Sans"/>
              </w:rPr>
            </w:pPr>
            <w:r w:rsidDel="00000000" w:rsidR="00000000" w:rsidRPr="00000000">
              <w:rPr>
                <w:rFonts w:ascii="Open Sans" w:cs="Open Sans" w:eastAsia="Open Sans" w:hAnsi="Open Sans"/>
                <w:color w:val="233745"/>
                <w:rtl w:val="0"/>
              </w:rPr>
              <w:t xml:space="preserve">This charter is a practical starting point, not legal advice. It does not replace a lawyer, a qualified Data Protection Officer, or formal legal review, and it does not cover every obligation under the Data Protection Act, 2019 (Kenya) or any other law that may apply to your organisation.</w:t>
            </w:r>
            <w:r w:rsidDel="00000000" w:rsidR="00000000" w:rsidRPr="00000000">
              <w:rPr>
                <w:rtl w:val="0"/>
              </w:rPr>
            </w:r>
          </w:p>
          <w:p w:rsidR="00000000" w:rsidDel="00000000" w:rsidP="00000000" w:rsidRDefault="00000000" w:rsidRPr="00000000" w14:paraId="0000000E">
            <w:pPr>
              <w:widowControl w:val="0"/>
              <w:spacing w:before="6" w:line="312" w:lineRule="auto"/>
              <w:ind w:left="0" w:right="-40.8661417322827" w:firstLine="0"/>
              <w:jc w:val="both"/>
              <w:rPr>
                <w:rFonts w:ascii="Open Sans" w:cs="Open Sans" w:eastAsia="Open Sans" w:hAnsi="Open Sans"/>
              </w:rPr>
            </w:pPr>
            <w:r w:rsidDel="00000000" w:rsidR="00000000" w:rsidRPr="00000000">
              <w:rPr>
                <w:rFonts w:ascii="Open Sans" w:cs="Open Sans" w:eastAsia="Open Sans" w:hAnsi="Open Sans"/>
                <w:color w:val="233745"/>
                <w:rtl w:val="0"/>
              </w:rPr>
              <w:t xml:space="preserve">It draws on publicly available guidance current as of the drafting date. Data protection law and ODPC guidance are updated periodically; check </w:t>
            </w:r>
            <w:hyperlink r:id="rId7">
              <w:r w:rsidDel="00000000" w:rsidR="00000000" w:rsidRPr="00000000">
                <w:rPr>
                  <w:rFonts w:ascii="Open Sans" w:cs="Open Sans" w:eastAsia="Open Sans" w:hAnsi="Open Sans"/>
                  <w:color w:val="233745"/>
                  <w:rtl w:val="0"/>
                </w:rPr>
                <w:t xml:space="preserve">www.odpc.go.ke</w:t>
              </w:r>
            </w:hyperlink>
            <w:r w:rsidDel="00000000" w:rsidR="00000000" w:rsidRPr="00000000">
              <w:rPr>
                <w:rFonts w:ascii="Open Sans" w:cs="Open Sans" w:eastAsia="Open Sans" w:hAnsi="Open Sans"/>
                <w:color w:val="233745"/>
                <w:rtl w:val="0"/>
              </w:rPr>
              <w:t xml:space="preserve"> for the current version of any guidance note referenced here before relying on it.</w:t>
            </w:r>
            <w:r w:rsidDel="00000000" w:rsidR="00000000" w:rsidRPr="00000000">
              <w:rPr>
                <w:rtl w:val="0"/>
              </w:rPr>
            </w:r>
          </w:p>
          <w:p w:rsidR="00000000" w:rsidDel="00000000" w:rsidP="00000000" w:rsidRDefault="00000000" w:rsidRPr="00000000" w14:paraId="0000000F">
            <w:pPr>
              <w:widowControl w:val="0"/>
              <w:spacing w:before="4" w:line="312" w:lineRule="auto"/>
              <w:ind w:left="0" w:right="-40.8661417322827" w:firstLine="0"/>
              <w:jc w:val="both"/>
              <w:rPr>
                <w:rFonts w:ascii="Open Sans" w:cs="Open Sans" w:eastAsia="Open Sans" w:hAnsi="Open Sans"/>
                <w:sz w:val="26"/>
                <w:szCs w:val="26"/>
              </w:rPr>
            </w:pPr>
            <w:r w:rsidDel="00000000" w:rsidR="00000000" w:rsidRPr="00000000">
              <w:rPr>
                <w:rFonts w:ascii="Open Sans" w:cs="Open Sans" w:eastAsia="Open Sans" w:hAnsi="Open Sans"/>
                <w:color w:val="233745"/>
                <w:rtl w:val="0"/>
              </w:rPr>
              <w:t xml:space="preserve">If your organisation operates outside Kenya, or handles data from people outside Kenya, you remain responsible for complying with the specific laws of every jurisdiction in which you operate (for example, the GDPR in the EU and/or UK).</w:t>
            </w:r>
            <w:r w:rsidDel="00000000" w:rsidR="00000000" w:rsidRPr="00000000">
              <w:rPr>
                <w:rtl w:val="0"/>
              </w:rPr>
            </w:r>
          </w:p>
        </w:tc>
      </w:tr>
    </w:tbl>
    <w:p w:rsidR="00000000" w:rsidDel="00000000" w:rsidP="00000000" w:rsidRDefault="00000000" w:rsidRPr="00000000" w14:paraId="00000010">
      <w:pPr>
        <w:widowControl w:val="0"/>
        <w:spacing w:before="1" w:line="240" w:lineRule="auto"/>
        <w:ind w:left="0" w:right="-40.8661417322827" w:firstLine="0"/>
        <w:rPr>
          <w:rFonts w:ascii="Open Sans" w:cs="Open Sans" w:eastAsia="Open Sans" w:hAnsi="Open Sans"/>
          <w:i w:val="1"/>
          <w:iCs w:val="1"/>
        </w:rPr>
      </w:pPr>
      <w:r w:rsidDel="00000000" w:rsidR="00000000" w:rsidRPr="00000000">
        <w:rPr>
          <w:rtl w:val="0"/>
        </w:rPr>
      </w:r>
    </w:p>
    <w:p w:rsidR="00000000" w:rsidDel="00000000" w:rsidP="00000000" w:rsidRDefault="00000000" w:rsidRPr="00000000" w14:paraId="00000011">
      <w:pPr>
        <w:widowControl w:val="0"/>
        <w:spacing w:before="1" w:line="240" w:lineRule="auto"/>
        <w:ind w:left="0" w:right="-40.8661417322827" w:firstLine="0"/>
        <w:rPr>
          <w:rFonts w:ascii="Open Sans" w:cs="Open Sans" w:eastAsia="Open Sans" w:hAnsi="Open Sans"/>
          <w:i w:val="1"/>
          <w:iCs w:val="1"/>
        </w:rPr>
      </w:pPr>
      <w:r w:rsidDel="00000000" w:rsidR="00000000" w:rsidRPr="00000000">
        <w:rPr>
          <w:rtl w:val="0"/>
        </w:rPr>
      </w:r>
    </w:p>
    <w:p w:rsidR="00000000" w:rsidDel="00000000" w:rsidP="00000000" w:rsidRDefault="00000000" w:rsidRPr="00000000" w14:paraId="00000012">
      <w:pPr>
        <w:pStyle w:val="Heading2"/>
        <w:keepNext w:val="0"/>
        <w:keepLines w:val="0"/>
        <w:widowControl w:val="0"/>
        <w:spacing w:after="0" w:before="0" w:line="240" w:lineRule="auto"/>
        <w:ind w:right="-40.8661417322827"/>
        <w:rPr>
          <w:rFonts w:ascii="Open Sans" w:cs="Open Sans" w:eastAsia="Open Sans" w:hAnsi="Open Sans"/>
          <w:sz w:val="24"/>
          <w:szCs w:val="24"/>
        </w:rPr>
      </w:pPr>
      <w:bookmarkStart w:colFirst="0" w:colLast="0" w:name="_qwcyaek8mvs" w:id="1"/>
      <w:bookmarkEnd w:id="1"/>
      <w:r w:rsidDel="00000000" w:rsidR="00000000" w:rsidRPr="00000000">
        <w:rPr>
          <w:rFonts w:ascii="Open Sans" w:cs="Open Sans" w:eastAsia="Open Sans" w:hAnsi="Open Sans"/>
          <w:b w:val="1"/>
          <w:bCs w:val="1"/>
          <w:color w:val="00abd6"/>
          <w:rtl w:val="0"/>
        </w:rPr>
        <w:t xml:space="preserve">Section 1: Purpose and Scope</w:t>
      </w:r>
      <w:r w:rsidDel="00000000" w:rsidR="00000000" w:rsidRPr="00000000">
        <w:rPr>
          <w:rtl w:val="0"/>
        </w:rPr>
      </w:r>
    </w:p>
    <w:p w:rsidR="00000000" w:rsidDel="00000000" w:rsidP="00000000" w:rsidRDefault="00000000" w:rsidRPr="00000000" w14:paraId="00000013">
      <w:pPr>
        <w:widowControl w:val="0"/>
        <w:spacing w:before="200" w:line="290" w:lineRule="auto"/>
        <w:ind w:right="-40.8661417322827"/>
        <w:jc w:val="both"/>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[Organisation Name] collects and uses personal data to [state your core purpose, e.g. ‘deliver our services, pay our staff, and report to our donors and regulators’]. This Charter sets out how we do that responsibly: who is accountable, what rules we follow, and what tools we use to protect the people whose data we hold.</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8100</wp:posOffset>
                </wp:positionH>
                <wp:positionV relativeFrom="paragraph">
                  <wp:posOffset>9525</wp:posOffset>
                </wp:positionV>
                <wp:extent cx="5715000" cy="15875"/>
                <wp:effectExtent b="0" l="0" r="0" t="0"/>
                <wp:wrapTopAndBottom distB="0" distT="0"/>
                <wp:docPr id="7" name=""/>
                <a:graphic>
                  <a:graphicData uri="http://schemas.microsoft.com/office/word/2010/wordprocessingShape">
                    <wps:wsp>
                      <wps:cNvSpPr/>
                      <wps:cNvPr id="2" name="Shape 2"/>
                      <wps:spPr>
                        <a:xfrm>
                          <a:off x="1924621" y="3779365"/>
                          <a:ext cx="6842759" cy="1270"/>
                        </a:xfrm>
                        <a:custGeom>
                          <a:rect b="b" l="l" r="r" t="t"/>
                          <a:pathLst>
                            <a:path extrusionOk="0" h="120000" w="6842759">
                              <a:moveTo>
                                <a:pt x="0" y="0"/>
                              </a:moveTo>
                              <a:lnTo>
                                <a:pt x="6842686" y="0"/>
                              </a:lnTo>
                            </a:path>
                          </a:pathLst>
                        </a:custGeom>
                        <a:noFill/>
                        <a:ln cap="flat" cmpd="sng" w="9525">
                          <a:solidFill>
                            <a:srgbClr val="00ABD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8100</wp:posOffset>
                </wp:positionH>
                <wp:positionV relativeFrom="paragraph">
                  <wp:posOffset>9525</wp:posOffset>
                </wp:positionV>
                <wp:extent cx="5715000" cy="15875"/>
                <wp:effectExtent b="0" l="0" r="0" t="0"/>
                <wp:wrapTopAndBottom distB="0" distT="0"/>
                <wp:docPr id="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715000" cy="15875"/>
                        </a:xfrm>
                        <a:prstGeom prst="rect"/>
                        <a:ln/>
                      </pic:spPr>
                    </pic:pic>
                  </a:graphicData>
                </a:graphic>
              </wp:anchor>
            </w:drawing>
          </mc:Fallback>
        </mc:AlternateContent>
      </w:r>
    </w:p>
    <w:p w:rsidR="00000000" w:rsidDel="00000000" w:rsidP="00000000" w:rsidRDefault="00000000" w:rsidRPr="00000000" w14:paraId="00000014">
      <w:pPr>
        <w:widowControl w:val="0"/>
        <w:spacing w:before="24" w:line="240" w:lineRule="auto"/>
        <w:ind w:right="-40.8661417322827"/>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5">
      <w:pPr>
        <w:pStyle w:val="Heading4"/>
        <w:keepNext w:val="0"/>
        <w:keepLines w:val="0"/>
        <w:widowControl w:val="0"/>
        <w:spacing w:after="0" w:before="0" w:line="240" w:lineRule="auto"/>
        <w:ind w:right="-40.8661417322827"/>
        <w:rPr>
          <w:rFonts w:ascii="Open Sans" w:cs="Open Sans" w:eastAsia="Open Sans" w:hAnsi="Open Sans"/>
          <w:b w:val="1"/>
          <w:bCs w:val="1"/>
          <w:color w:val="000000"/>
          <w:sz w:val="26"/>
          <w:szCs w:val="26"/>
        </w:rPr>
      </w:pPr>
      <w:bookmarkStart w:colFirst="0" w:colLast="0" w:name="_1g34n3nqqb2l" w:id="2"/>
      <w:bookmarkEnd w:id="2"/>
      <w:r w:rsidDel="00000000" w:rsidR="00000000" w:rsidRPr="00000000">
        <w:rPr>
          <w:rFonts w:ascii="Open Sans" w:cs="Open Sans" w:eastAsia="Open Sans" w:hAnsi="Open Sans"/>
          <w:b w:val="1"/>
          <w:bCs w:val="1"/>
          <w:color w:val="000000"/>
          <w:sz w:val="26"/>
          <w:szCs w:val="26"/>
          <w:rtl w:val="0"/>
        </w:rPr>
        <w:t xml:space="preserve">This Charter applies to:</w:t>
      </w:r>
    </w:p>
    <w:p w:rsidR="00000000" w:rsidDel="00000000" w:rsidP="00000000" w:rsidRDefault="00000000" w:rsidRPr="00000000" w14:paraId="00000016">
      <w:pPr>
        <w:widowControl w:val="0"/>
        <w:numPr>
          <w:ilvl w:val="0"/>
          <w:numId w:val="1"/>
        </w:numPr>
        <w:tabs>
          <w:tab w:val="left" w:leader="none" w:pos="408"/>
        </w:tabs>
        <w:spacing w:after="0" w:afterAutospacing="0" w:before="40" w:line="240" w:lineRule="auto"/>
        <w:ind w:left="720" w:right="-40.8661417322827" w:hanging="360"/>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All staff, founders, board members, volunteers, and interns.</w:t>
      </w:r>
    </w:p>
    <w:p w:rsidR="00000000" w:rsidDel="00000000" w:rsidP="00000000" w:rsidRDefault="00000000" w:rsidRPr="00000000" w14:paraId="00000017">
      <w:pPr>
        <w:widowControl w:val="0"/>
        <w:numPr>
          <w:ilvl w:val="0"/>
          <w:numId w:val="1"/>
        </w:numPr>
        <w:tabs>
          <w:tab w:val="left" w:leader="none" w:pos="407"/>
          <w:tab w:val="left" w:leader="none" w:pos="409"/>
        </w:tabs>
        <w:spacing w:before="0" w:beforeAutospacing="0" w:line="290" w:lineRule="auto"/>
        <w:ind w:left="720" w:right="-40.8661417322827" w:hanging="360"/>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All contractors, consultants, and third-party suppliers who process personal data on our behalf.</w:t>
      </w:r>
    </w:p>
    <w:p w:rsidR="00000000" w:rsidDel="00000000" w:rsidP="00000000" w:rsidRDefault="00000000" w:rsidRPr="00000000" w14:paraId="00000018">
      <w:pPr>
        <w:widowControl w:val="0"/>
        <w:numPr>
          <w:ilvl w:val="0"/>
          <w:numId w:val="1"/>
        </w:numPr>
        <w:tabs>
          <w:tab w:val="left" w:leader="none" w:pos="407"/>
          <w:tab w:val="left" w:leader="none" w:pos="409"/>
        </w:tabs>
        <w:spacing w:line="290" w:lineRule="auto"/>
        <w:ind w:left="720" w:right="-40.8661417322827" w:hanging="360"/>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All personal data we hold, whether digital (databases, spreadsheets, cloud storage, apps) or physical (paper files, forms, printed records).</w:t>
      </w:r>
    </w:p>
    <w:p w:rsidR="00000000" w:rsidDel="00000000" w:rsidP="00000000" w:rsidRDefault="00000000" w:rsidRPr="00000000" w14:paraId="00000019">
      <w:pPr>
        <w:widowControl w:val="0"/>
        <w:numPr>
          <w:ilvl w:val="0"/>
          <w:numId w:val="1"/>
        </w:numPr>
        <w:tabs>
          <w:tab w:val="left" w:leader="none" w:pos="408"/>
        </w:tabs>
        <w:spacing w:line="275" w:lineRule="auto"/>
        <w:ind w:left="720" w:right="-40.8661417322827" w:hanging="360"/>
        <w:rPr>
          <w:rFonts w:ascii="Open Sans" w:cs="Open Sans" w:eastAsia="Open Sans" w:hAnsi="Open Sans"/>
          <w:sz w:val="24"/>
          <w:szCs w:val="24"/>
          <w:u w:val="none"/>
        </w:rPr>
      </w:pPr>
      <w:r w:rsidDel="00000000" w:rsidR="00000000" w:rsidRPr="00000000">
        <w:rPr>
          <w:rFonts w:ascii="Open Sans" w:cs="Open Sans" w:eastAsia="Open Sans" w:hAnsi="Open Sans"/>
          <w:sz w:val="24"/>
          <w:szCs w:val="24"/>
          <w:rtl w:val="0"/>
        </w:rPr>
        <w:t xml:space="preserve">Every stage of the data lifecycle: collection, storage, use, sharing, and deletion.</w:t>
      </w:r>
    </w:p>
    <w:p w:rsidR="00000000" w:rsidDel="00000000" w:rsidP="00000000" w:rsidRDefault="00000000" w:rsidRPr="00000000" w14:paraId="0000001A">
      <w:pPr>
        <w:widowControl w:val="0"/>
        <w:spacing w:before="13" w:line="240" w:lineRule="auto"/>
        <w:ind w:right="-40.8661417322827"/>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B">
      <w:pPr>
        <w:widowControl w:val="0"/>
        <w:spacing w:line="290" w:lineRule="auto"/>
        <w:ind w:right="-40.8661417322827"/>
        <w:rPr>
          <w:rFonts w:ascii="Open Sans" w:cs="Open Sans" w:eastAsia="Open Sans" w:hAnsi="Open Sans"/>
          <w:i w:val="1"/>
          <w:iCs w:val="1"/>
        </w:rPr>
        <w:sectPr>
          <w:headerReference r:id="rId9" w:type="default"/>
          <w:pgSz w:h="16838" w:w="11906" w:orient="portrait"/>
          <w:pgMar w:bottom="1440.0000000000002" w:top="1440.0000000000002" w:left="1440.0000000000002" w:right="1440.0000000000002" w:header="720" w:footer="720"/>
          <w:pgNumType w:start="1"/>
        </w:sectPr>
      </w:pPr>
      <w:r w:rsidDel="00000000" w:rsidR="00000000" w:rsidRPr="00000000">
        <w:rPr>
          <w:rFonts w:ascii="Open Sans" w:cs="Open Sans" w:eastAsia="Open Sans" w:hAnsi="Open Sans"/>
          <w:i w:val="1"/>
          <w:iCs w:val="1"/>
          <w:rtl w:val="0"/>
        </w:rPr>
        <w:t xml:space="preserve">‘Personal data’ means any information that can identify a living person, directly or indirectly, for example, a name, phone number, ID number, photo, location, or online identifier. ‘Sensitive personal data’ is a smaller category needing extra care: health, biometric, genetic, ethnic, religious, or similar information, and any data belonging to a child.</w:t>
      </w:r>
      <w:r w:rsidDel="00000000" w:rsidR="00000000" w:rsidRPr="00000000">
        <w:rPr>
          <w:rtl w:val="0"/>
        </w:rPr>
      </w:r>
    </w:p>
    <w:p w:rsidR="00000000" w:rsidDel="00000000" w:rsidP="00000000" w:rsidRDefault="00000000" w:rsidRPr="00000000" w14:paraId="0000001C">
      <w:pPr>
        <w:widowControl w:val="0"/>
        <w:spacing w:line="290" w:lineRule="auto"/>
        <w:ind w:left="0" w:right="-40.8661417322827" w:firstLine="0"/>
        <w:rPr>
          <w:rFonts w:ascii="Open Sans" w:cs="Open Sans" w:eastAsia="Open Sans" w:hAnsi="Open Sans"/>
          <w:i w:val="1"/>
          <w:iCs w:val="1"/>
        </w:rPr>
      </w:pPr>
      <w:r w:rsidDel="00000000" w:rsidR="00000000" w:rsidRPr="00000000">
        <w:rPr>
          <w:rtl w:val="0"/>
        </w:rPr>
      </w:r>
    </w:p>
    <w:p w:rsidR="00000000" w:rsidDel="00000000" w:rsidP="00000000" w:rsidRDefault="00000000" w:rsidRPr="00000000" w14:paraId="0000001D">
      <w:pPr>
        <w:pStyle w:val="Heading2"/>
        <w:keepNext w:val="0"/>
        <w:keepLines w:val="0"/>
        <w:widowControl w:val="0"/>
        <w:spacing w:after="0" w:before="0" w:line="240" w:lineRule="auto"/>
        <w:ind w:left="0" w:right="-40.8661417322827" w:firstLine="0"/>
        <w:rPr>
          <w:rFonts w:ascii="Open Sans" w:cs="Open Sans" w:eastAsia="Open Sans" w:hAnsi="Open Sans"/>
          <w:b w:val="1"/>
          <w:bCs w:val="1"/>
          <w:sz w:val="8"/>
          <w:szCs w:val="8"/>
        </w:rPr>
      </w:pPr>
      <w:r w:rsidDel="00000000" w:rsidR="00000000" w:rsidRPr="00000000">
        <w:rPr>
          <w:rFonts w:ascii="Open Sans" w:cs="Open Sans" w:eastAsia="Open Sans" w:hAnsi="Open Sans"/>
          <w:b w:val="1"/>
          <w:bCs w:val="1"/>
          <w:color w:val="00abd6"/>
          <w:rtl w:val="0"/>
        </w:rPr>
        <w:t xml:space="preserve">Section 2: Key Terms, Explained Simply</w:t>
      </w:r>
      <w:r w:rsidDel="00000000" w:rsidR="00000000" w:rsidRPr="00000000">
        <w:rPr>
          <w:rtl w:val="0"/>
        </w:rPr>
      </w:r>
    </w:p>
    <w:p w:rsidR="00000000" w:rsidDel="00000000" w:rsidP="00000000" w:rsidRDefault="00000000" w:rsidRPr="00000000" w14:paraId="0000001E">
      <w:pPr>
        <w:widowControl w:val="0"/>
        <w:spacing w:before="200" w:line="288" w:lineRule="auto"/>
        <w:ind w:left="0" w:right="-40.8661417322827" w:firstLine="0"/>
        <w:jc w:val="both"/>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These are the terms used throughout this Charter. They are explained in plain language here so that no one needs a legal background to use this document.</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9525</wp:posOffset>
                </wp:positionH>
                <wp:positionV relativeFrom="paragraph">
                  <wp:posOffset>47625</wp:posOffset>
                </wp:positionV>
                <wp:extent cx="5715000" cy="15875"/>
                <wp:effectExtent b="0" l="0" r="0" t="0"/>
                <wp:wrapTopAndBottom distB="0" distT="0"/>
                <wp:docPr id="6" name=""/>
                <a:graphic>
                  <a:graphicData uri="http://schemas.microsoft.com/office/word/2010/wordprocessingShape">
                    <wps:wsp>
                      <wps:cNvSpPr/>
                      <wps:cNvPr id="2" name="Shape 2"/>
                      <wps:spPr>
                        <a:xfrm>
                          <a:off x="1924621" y="3779365"/>
                          <a:ext cx="6842759" cy="1270"/>
                        </a:xfrm>
                        <a:custGeom>
                          <a:rect b="b" l="l" r="r" t="t"/>
                          <a:pathLst>
                            <a:path extrusionOk="0" h="120000" w="6842759">
                              <a:moveTo>
                                <a:pt x="0" y="0"/>
                              </a:moveTo>
                              <a:lnTo>
                                <a:pt x="6842686" y="0"/>
                              </a:lnTo>
                            </a:path>
                          </a:pathLst>
                        </a:custGeom>
                        <a:noFill/>
                        <a:ln cap="flat" cmpd="sng" w="9525">
                          <a:solidFill>
                            <a:srgbClr val="00ABD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9525</wp:posOffset>
                </wp:positionH>
                <wp:positionV relativeFrom="paragraph">
                  <wp:posOffset>47625</wp:posOffset>
                </wp:positionV>
                <wp:extent cx="5715000" cy="15875"/>
                <wp:effectExtent b="0" l="0" r="0" t="0"/>
                <wp:wrapTopAndBottom distB="0" distT="0"/>
                <wp:docPr id="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715000" cy="15875"/>
                        </a:xfrm>
                        <a:prstGeom prst="rect"/>
                        <a:ln/>
                      </pic:spPr>
                    </pic:pic>
                  </a:graphicData>
                </a:graphic>
              </wp:anchor>
            </w:drawing>
          </mc:Fallback>
        </mc:AlternateContent>
      </w:r>
    </w:p>
    <w:p w:rsidR="00000000" w:rsidDel="00000000" w:rsidP="00000000" w:rsidRDefault="00000000" w:rsidRPr="00000000" w14:paraId="0000001F">
      <w:pPr>
        <w:widowControl w:val="0"/>
        <w:spacing w:before="5" w:line="240" w:lineRule="auto"/>
        <w:ind w:left="0" w:right="-40.8661417322827" w:firstLine="0"/>
        <w:rPr>
          <w:rFonts w:ascii="Open Sans" w:cs="Open Sans" w:eastAsia="Open Sans" w:hAnsi="Open Sans"/>
          <w:sz w:val="8"/>
          <w:szCs w:val="8"/>
        </w:rPr>
      </w:pPr>
      <w:r w:rsidDel="00000000" w:rsidR="00000000" w:rsidRPr="00000000">
        <w:rPr>
          <w:rtl w:val="0"/>
        </w:rPr>
      </w:r>
    </w:p>
    <w:tbl>
      <w:tblPr>
        <w:tblStyle w:val="Table2"/>
        <w:tblW w:w="8967.0" w:type="dxa"/>
        <w:jc w:val="left"/>
        <w:tblInd w:w="59.0" w:type="dxa"/>
        <w:tblBorders>
          <w:top w:color="9de3f5" w:space="0" w:sz="12" w:val="single"/>
          <w:left w:color="9de3f5" w:space="0" w:sz="12" w:val="single"/>
          <w:bottom w:color="9de3f5" w:space="0" w:sz="12" w:val="single"/>
          <w:right w:color="9de3f5" w:space="0" w:sz="12" w:val="single"/>
          <w:insideH w:color="9de3f5" w:space="0" w:sz="12" w:val="single"/>
          <w:insideV w:color="9de3f5" w:space="0" w:sz="12" w:val="single"/>
        </w:tblBorders>
        <w:tblLayout w:type="fixed"/>
        <w:tblLook w:val="0000"/>
      </w:tblPr>
      <w:tblGrid>
        <w:gridCol w:w="2220"/>
        <w:gridCol w:w="6747"/>
        <w:tblGridChange w:id="0">
          <w:tblGrid>
            <w:gridCol w:w="2220"/>
            <w:gridCol w:w="6747"/>
          </w:tblGrid>
        </w:tblGridChange>
      </w:tblGrid>
      <w:tr>
        <w:trPr>
          <w:cantSplit w:val="0"/>
          <w:trHeight w:val="375" w:hRule="atLeast"/>
          <w:tblHeader w:val="0"/>
        </w:trPr>
        <w:tc>
          <w:tcPr>
            <w:tcBorders>
              <w:top w:color="000000" w:space="0" w:sz="0" w:val="nil"/>
              <w:bottom w:color="000000" w:space="0" w:sz="0" w:val="nil"/>
              <w:right w:color="ffffff" w:space="0" w:sz="12" w:val="single"/>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20">
            <w:pPr>
              <w:widowControl w:val="0"/>
              <w:spacing w:before="0"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Term</w:t>
            </w:r>
          </w:p>
        </w:tc>
        <w:tc>
          <w:tcPr>
            <w:tcBorders>
              <w:top w:color="000000" w:space="0" w:sz="0" w:val="nil"/>
              <w:left w:color="ffffff" w:space="0" w:sz="12" w:val="single"/>
              <w:bottom w:color="000000" w:space="0" w:sz="0" w:val="nil"/>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21">
            <w:pPr>
              <w:widowControl w:val="0"/>
              <w:spacing w:before="0"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What it means</w:t>
            </w:r>
          </w:p>
        </w:tc>
      </w:tr>
      <w:tr>
        <w:trPr>
          <w:cantSplit w:val="0"/>
          <w:trHeight w:val="675" w:hRule="atLeast"/>
          <w:tblHeader w:val="0"/>
        </w:trPr>
        <w:tc>
          <w:tcPr>
            <w:tcBorders>
              <w:top w:color="000000" w:space="0" w:sz="0" w:val="nil"/>
            </w:tcBorders>
            <w:tcMar>
              <w:top w:w="56.69291338582678" w:type="dxa"/>
              <w:left w:w="56.69291338582678" w:type="dxa"/>
              <w:bottom w:w="56.69291338582678" w:type="dxa"/>
              <w:right w:w="56.69291338582678" w:type="dxa"/>
            </w:tcMar>
          </w:tcPr>
          <w:p w:rsidR="00000000" w:rsidDel="00000000" w:rsidP="00000000" w:rsidRDefault="00000000" w:rsidRPr="00000000" w14:paraId="00000022">
            <w:pPr>
              <w:widowControl w:val="0"/>
              <w:spacing w:before="198" w:line="240"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Data subject</w:t>
            </w:r>
          </w:p>
        </w:tc>
        <w:tc>
          <w:tcPr>
            <w:tcBorders>
              <w:top w:color="000000" w:space="0" w:sz="0" w:val="nil"/>
            </w:tcBorders>
            <w:tcMar>
              <w:top w:w="56.69291338582678" w:type="dxa"/>
              <w:left w:w="56.69291338582678" w:type="dxa"/>
              <w:bottom w:w="56.69291338582678" w:type="dxa"/>
              <w:right w:w="56.69291338582678" w:type="dxa"/>
            </w:tcMar>
          </w:tcPr>
          <w:p w:rsidR="00000000" w:rsidDel="00000000" w:rsidP="00000000" w:rsidRDefault="00000000" w:rsidRPr="00000000" w14:paraId="00000023">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The person the data is about, for example a customer, employee, beneficiary, or donor.</w:t>
            </w:r>
          </w:p>
        </w:tc>
      </w:tr>
      <w:tr>
        <w:trPr>
          <w:cantSplit w:val="0"/>
          <w:trHeight w:val="675"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24">
            <w:pPr>
              <w:widowControl w:val="0"/>
              <w:spacing w:before="199" w:line="240"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Data controller</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25">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The organisation that decides why and how personal data is collected and used. This is usually your organisation itself.</w:t>
            </w:r>
          </w:p>
        </w:tc>
      </w:tr>
      <w:tr>
        <w:trPr>
          <w:cantSplit w:val="0"/>
          <w:trHeight w:val="675"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26">
            <w:pPr>
              <w:widowControl w:val="0"/>
              <w:spacing w:before="199" w:line="240"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Data processor</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27">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third party that handles personal data on your instructions, for example a payroll provider, cloud host, or email marketing tool.</w:t>
            </w:r>
          </w:p>
        </w:tc>
      </w:tr>
      <w:tr>
        <w:trPr>
          <w:cantSplit w:val="0"/>
          <w:trHeight w:val="93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28">
            <w:pPr>
              <w:widowControl w:val="0"/>
              <w:spacing w:before="80" w:line="240" w:lineRule="auto"/>
              <w:ind w:left="0" w:right="-40.8661417322827"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9">
            <w:pPr>
              <w:widowControl w:val="0"/>
              <w:spacing w:before="1" w:line="240"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Consent</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2A">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person’s clear, freely given ‘yes’ to a specific use of their data. It must be a real choice, not a condition buried in fine print, and it must be as easy to withdraw as it was to give.</w:t>
            </w:r>
          </w:p>
        </w:tc>
      </w:tr>
      <w:tr>
        <w:trPr>
          <w:cantSplit w:val="0"/>
          <w:trHeight w:val="93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2B">
            <w:pPr>
              <w:widowControl w:val="0"/>
              <w:spacing w:before="199"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Data Protection Officer (DPO)</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2C">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The person responsible for advising your organisation on data protection compliance day to day. Not every small organisation is legally required to appoint one, but someone should always hold this responsibility (see Section 4).</w:t>
            </w:r>
          </w:p>
        </w:tc>
      </w:tr>
      <w:tr>
        <w:trPr>
          <w:cantSplit w:val="0"/>
          <w:trHeight w:val="93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2D">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Data Protection Impact Assessment (DPIA)</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2E">
            <w:pPr>
              <w:widowControl w:val="0"/>
              <w:spacing w:before="199"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structured check you carry out before starting a new or high-risk activity involving personal data, to spot and fix privacy risks before they happen.</w:t>
            </w:r>
          </w:p>
        </w:tc>
      </w:tr>
      <w:tr>
        <w:trPr>
          <w:cantSplit w:val="0"/>
          <w:trHeight w:val="93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2F">
            <w:pPr>
              <w:widowControl w:val="0"/>
              <w:spacing w:before="80" w:line="240" w:lineRule="auto"/>
              <w:ind w:left="0" w:right="-40.8661417322827"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0">
            <w:pPr>
              <w:widowControl w:val="0"/>
              <w:spacing w:before="1" w:line="240"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Data breach</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31">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Any incident where personal data is lost, stolen, accessed, or disclosed without authorisation, for example a lost laptop, a hacked account, or an email sent to the wrong person.</w:t>
            </w:r>
          </w:p>
        </w:tc>
      </w:tr>
      <w:tr>
        <w:trPr>
          <w:cantSplit w:val="0"/>
          <w:trHeight w:val="675"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32">
            <w:pPr>
              <w:widowControl w:val="0"/>
              <w:spacing w:before="199" w:line="240"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Retention</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33">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How long you keep a given type of data before deleting or archiving it. Data should not be kept indefinitely ‘just in case’.</w:t>
            </w:r>
          </w:p>
        </w:tc>
      </w:tr>
      <w:tr>
        <w:trPr>
          <w:cantSplit w:val="0"/>
          <w:trHeight w:val="93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34">
            <w:pPr>
              <w:widowControl w:val="0"/>
              <w:spacing w:before="199"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Anonymisation / Pseudonymisation</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35">
            <w:pPr>
              <w:widowControl w:val="0"/>
              <w:spacing w:before="78" w:line="242" w:lineRule="auto"/>
              <w:ind w:left="0"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Anonymisation permanently removes anything that could identify a person. Pseudonymisation replaces identifying details with a code, keeping the key to reverse it separately and securely. Anonymised data carries far less risk.</w:t>
            </w:r>
          </w:p>
        </w:tc>
      </w:tr>
    </w:tbl>
    <w:p w:rsidR="00000000" w:rsidDel="00000000" w:rsidP="00000000" w:rsidRDefault="00000000" w:rsidRPr="00000000" w14:paraId="00000036">
      <w:pPr>
        <w:widowControl w:val="0"/>
        <w:spacing w:before="138" w:line="242" w:lineRule="auto"/>
        <w:ind w:left="0" w:right="-40.8661417322827" w:firstLine="0"/>
        <w:rPr>
          <w:rFonts w:ascii="Open Sans" w:cs="Open Sans" w:eastAsia="Open Sans" w:hAnsi="Open Sans"/>
        </w:rPr>
        <w:sectPr>
          <w:type w:val="nextPage"/>
          <w:pgSz w:h="16838" w:w="11906" w:orient="portrait"/>
          <w:pgMar w:bottom="1440.0000000000002" w:top="1133.8582677165355" w:left="1440.0000000000002" w:right="1440.0000000000002" w:header="722" w:footer="0"/>
        </w:sectPr>
      </w:pPr>
      <w:r w:rsidDel="00000000" w:rsidR="00000000" w:rsidRPr="00000000">
        <w:rPr>
          <w:rtl w:val="0"/>
        </w:rPr>
      </w:r>
    </w:p>
    <w:p w:rsidR="00000000" w:rsidDel="00000000" w:rsidP="00000000" w:rsidRDefault="00000000" w:rsidRPr="00000000" w14:paraId="00000037">
      <w:pPr>
        <w:pStyle w:val="Heading2"/>
        <w:keepNext w:val="0"/>
        <w:keepLines w:val="0"/>
        <w:widowControl w:val="0"/>
        <w:spacing w:after="0" w:before="0" w:line="240" w:lineRule="auto"/>
        <w:ind w:right="-40.8661417322827"/>
        <w:rPr>
          <w:rFonts w:ascii="Open Sans" w:cs="Open Sans" w:eastAsia="Open Sans" w:hAnsi="Open Sans"/>
          <w:sz w:val="24"/>
          <w:szCs w:val="24"/>
        </w:rPr>
      </w:pPr>
      <w:bookmarkStart w:colFirst="0" w:colLast="0" w:name="_2joabi3puhgp" w:id="3"/>
      <w:bookmarkEnd w:id="3"/>
      <w:r w:rsidDel="00000000" w:rsidR="00000000" w:rsidRPr="00000000">
        <w:rPr>
          <w:rFonts w:ascii="Open Sans" w:cs="Open Sans" w:eastAsia="Open Sans" w:hAnsi="Open Sans"/>
          <w:b w:val="1"/>
          <w:bCs w:val="1"/>
          <w:color w:val="00abd6"/>
          <w:rtl w:val="0"/>
        </w:rPr>
        <w:t xml:space="preserve">Section 3: Our Governance Principles</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88" w:lineRule="auto"/>
        <w:ind w:left="0" w:right="-40.8661417322827" w:firstLine="0"/>
        <w:jc w:val="both"/>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These principles are drawn from two sources working together: the data protection principles already set out in Section 25 of the Data Protection Act, 2019 (Kenya), which are legally grounded and specific to handling personal data, and ISO/IEC 38505-1, an international standard for data governance more broadly, which adds a few things the Act does not explicitly cover (particularly around everyday habits and checking that our practices actually work). Where a principle exists in both, we have merged them into one plain-language row rather than repeating it twice.</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9525</wp:posOffset>
                </wp:positionH>
                <wp:positionV relativeFrom="paragraph">
                  <wp:posOffset>19050</wp:posOffset>
                </wp:positionV>
                <wp:extent cx="5715000" cy="15875"/>
                <wp:effectExtent b="0" l="0" r="0" t="0"/>
                <wp:wrapTopAndBottom distB="0" distT="0"/>
                <wp:docPr id="1" name=""/>
                <a:graphic>
                  <a:graphicData uri="http://schemas.microsoft.com/office/word/2010/wordprocessingShape">
                    <wps:wsp>
                      <wps:cNvSpPr/>
                      <wps:cNvPr id="2" name="Shape 2"/>
                      <wps:spPr>
                        <a:xfrm>
                          <a:off x="1924621" y="3779365"/>
                          <a:ext cx="6842759" cy="1270"/>
                        </a:xfrm>
                        <a:custGeom>
                          <a:rect b="b" l="l" r="r" t="t"/>
                          <a:pathLst>
                            <a:path extrusionOk="0" h="120000" w="6842759">
                              <a:moveTo>
                                <a:pt x="0" y="0"/>
                              </a:moveTo>
                              <a:lnTo>
                                <a:pt x="6842686" y="0"/>
                              </a:lnTo>
                            </a:path>
                          </a:pathLst>
                        </a:custGeom>
                        <a:noFill/>
                        <a:ln cap="flat" cmpd="sng" w="9525">
                          <a:solidFill>
                            <a:srgbClr val="00ABD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9525</wp:posOffset>
                </wp:positionH>
                <wp:positionV relativeFrom="paragraph">
                  <wp:posOffset>19050</wp:posOffset>
                </wp:positionV>
                <wp:extent cx="5715000" cy="15875"/>
                <wp:effectExtent b="0" l="0" r="0" t="0"/>
                <wp:wrapTopAndBottom distB="0" distT="0"/>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715000" cy="15875"/>
                        </a:xfrm>
                        <a:prstGeom prst="rect"/>
                        <a:ln/>
                      </pic:spPr>
                    </pic:pic>
                  </a:graphicData>
                </a:graphic>
              </wp:anchor>
            </w:drawing>
          </mc:Fallback>
        </mc:AlternateContent>
      </w:r>
    </w:p>
    <w:p w:rsidR="00000000" w:rsidDel="00000000" w:rsidP="00000000" w:rsidRDefault="00000000" w:rsidRPr="00000000" w14:paraId="00000039">
      <w:pPr>
        <w:widowControl w:val="0"/>
        <w:spacing w:before="4" w:line="240" w:lineRule="auto"/>
        <w:ind w:left="0" w:right="-40.8661417322827" w:firstLine="0"/>
        <w:rPr>
          <w:rFonts w:ascii="Open Sans" w:cs="Open Sans" w:eastAsia="Open Sans" w:hAnsi="Open Sans"/>
          <w:sz w:val="18"/>
          <w:szCs w:val="18"/>
        </w:rPr>
      </w:pPr>
      <w:r w:rsidDel="00000000" w:rsidR="00000000" w:rsidRPr="00000000">
        <w:rPr>
          <w:rtl w:val="0"/>
        </w:rPr>
      </w:r>
    </w:p>
    <w:tbl>
      <w:tblPr>
        <w:tblStyle w:val="Table3"/>
        <w:tblW w:w="8955.0" w:type="dxa"/>
        <w:jc w:val="left"/>
        <w:tblInd w:w="59.0" w:type="dxa"/>
        <w:tblBorders>
          <w:top w:color="9de3f5" w:space="0" w:sz="12" w:val="single"/>
          <w:left w:color="9de3f5" w:space="0" w:sz="12" w:val="single"/>
          <w:bottom w:color="9de3f5" w:space="0" w:sz="12" w:val="single"/>
          <w:right w:color="9de3f5" w:space="0" w:sz="12" w:val="single"/>
          <w:insideH w:color="9de3f5" w:space="0" w:sz="12" w:val="single"/>
          <w:insideV w:color="9de3f5" w:space="0" w:sz="12" w:val="single"/>
        </w:tblBorders>
        <w:tblLayout w:type="fixed"/>
        <w:tblLook w:val="0000"/>
      </w:tblPr>
      <w:tblGrid>
        <w:gridCol w:w="2145"/>
        <w:gridCol w:w="6810"/>
        <w:tblGridChange w:id="0">
          <w:tblGrid>
            <w:gridCol w:w="2145"/>
            <w:gridCol w:w="6810"/>
          </w:tblGrid>
        </w:tblGridChange>
      </w:tblGrid>
      <w:tr>
        <w:trPr>
          <w:cantSplit w:val="0"/>
          <w:trHeight w:val="315" w:hRule="atLeast"/>
          <w:tblHeader w:val="0"/>
        </w:trPr>
        <w:tc>
          <w:tcPr>
            <w:tcBorders>
              <w:top w:color="000000" w:space="0" w:sz="0" w:val="nil"/>
              <w:bottom w:color="000000" w:space="0" w:sz="0" w:val="nil"/>
              <w:right w:color="ffffff" w:space="0" w:sz="12" w:val="single"/>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3A">
            <w:pPr>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Principle</w:t>
            </w:r>
          </w:p>
        </w:tc>
        <w:tc>
          <w:tcPr>
            <w:tcBorders>
              <w:top w:color="000000" w:space="0" w:sz="0" w:val="nil"/>
              <w:left w:color="ffffff" w:space="0" w:sz="12" w:val="single"/>
              <w:bottom w:color="000000" w:space="0" w:sz="0" w:val="nil"/>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3B">
            <w:pPr>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What it means for us, in practice</w:t>
            </w:r>
          </w:p>
        </w:tc>
      </w:tr>
      <w:tr>
        <w:trPr>
          <w:cantSplit w:val="0"/>
          <w:trHeight w:val="1050" w:hRule="atLeast"/>
          <w:tblHeader w:val="0"/>
        </w:trPr>
        <w:tc>
          <w:tcPr>
            <w:tcBorders>
              <w:top w:color="000000" w:space="0" w:sz="0" w:val="nil"/>
            </w:tcBorders>
            <w:tcMar>
              <w:top w:w="56.69291338582678" w:type="dxa"/>
              <w:left w:w="56.69291338582678" w:type="dxa"/>
              <w:bottom w:w="56.69291338582678" w:type="dxa"/>
              <w:right w:w="56.69291338582678" w:type="dxa"/>
            </w:tcMar>
          </w:tcPr>
          <w:p w:rsidR="00000000" w:rsidDel="00000000" w:rsidP="00000000" w:rsidRDefault="00000000" w:rsidRPr="00000000" w14:paraId="0000003C">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3D">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Responsibility and Accountability</w:t>
            </w:r>
          </w:p>
        </w:tc>
        <w:tc>
          <w:tcPr>
            <w:tcBorders>
              <w:top w:color="000000" w:space="0" w:sz="0" w:val="nil"/>
            </w:tcBorders>
            <w:tcMar>
              <w:top w:w="56.69291338582678" w:type="dxa"/>
              <w:left w:w="56.69291338582678" w:type="dxa"/>
              <w:bottom w:w="56.69291338582678" w:type="dxa"/>
              <w:right w:w="56.69291338582678" w:type="dxa"/>
            </w:tcMar>
          </w:tcPr>
          <w:p w:rsidR="00000000" w:rsidDel="00000000" w:rsidP="00000000" w:rsidRDefault="00000000" w:rsidRPr="00000000" w14:paraId="0000003E">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Every data decision has one named person accountable for it, not ‘the team’ in general. We can show, not just claim, that we follow our own rules, for example by keeping records of what we decided and why.</w:t>
            </w:r>
          </w:p>
        </w:tc>
      </w:tr>
      <w:tr>
        <w:trPr>
          <w:cantSplit w:val="0"/>
          <w:trHeight w:val="1305"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3F">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0">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Lawfulness, Fairness and Transparency</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41">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We only use personal data when we have a genuine, legal reason to (see the lawful basis stated in each of our policies). We are upfront with people about what we are doing with their data, and we treat them fairly, not just technically within the rules.</w:t>
            </w:r>
          </w:p>
        </w:tc>
      </w:tr>
      <w:tr>
        <w:trPr>
          <w:cantSplit w:val="0"/>
          <w:trHeight w:val="105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42">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3">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Purpose Limitation and Strategic Fit</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44">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We collect data for a clearly stated reason connected to our mission, and we do not quietly reuse it for something else later without asking again. Our data practices serve our work, not the other way around.</w:t>
            </w:r>
          </w:p>
        </w:tc>
      </w:tr>
      <w:tr>
        <w:trPr>
          <w:cantSplit w:val="0"/>
          <w:trHeight w:val="105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45">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6">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Data Minimisation</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47">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We only collect data we can justify needing, and no more. Before adding a new form field or tracking tool, we ask whether we actually need it to do our work.</w:t>
            </w:r>
          </w:p>
        </w:tc>
      </w:tr>
      <w:tr>
        <w:trPr>
          <w:cantSplit w:val="0"/>
          <w:trHeight w:val="795"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48">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9">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Accuracy</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4A">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We keep personal data correct and current, and we fix or delete it when it is wrong, rather than letting errors sit indefinitely.</w:t>
            </w:r>
          </w:p>
        </w:tc>
      </w:tr>
      <w:tr>
        <w:trPr>
          <w:cantSplit w:val="0"/>
          <w:trHeight w:val="105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4B">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C">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Storage Limitation</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4D">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We do not keep personal data indefinitely just in case it might be useful. We set a clear retention period for each type of data and actually delete or archive it once that period ends.</w:t>
            </w:r>
          </w:p>
        </w:tc>
      </w:tr>
      <w:tr>
        <w:trPr>
          <w:cantSplit w:val="0"/>
          <w:trHeight w:val="105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4E">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F">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Confidentiality and Vigilance</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50">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We protect data with real safeguards, such as access controls and encryption, and we regularly test that those safeguards still work in practice, not just that they are written down somewhere.</w:t>
            </w:r>
          </w:p>
        </w:tc>
      </w:tr>
      <w:tr>
        <w:trPr>
          <w:cantSplit w:val="0"/>
          <w:trHeight w:val="105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51">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2">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Stewardship</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53">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Good data practice is built into how people actually work day to day, through training and habit, so it does not depend on someone remembering the rules under pressure.</w:t>
            </w:r>
          </w:p>
        </w:tc>
      </w:tr>
    </w:tbl>
    <w:p w:rsidR="00000000" w:rsidDel="00000000" w:rsidP="00000000" w:rsidRDefault="00000000" w:rsidRPr="00000000" w14:paraId="00000054">
      <w:pPr>
        <w:widowControl w:val="0"/>
        <w:spacing w:before="138" w:line="242" w:lineRule="auto"/>
        <w:ind w:left="0" w:right="-40.8661417322827" w:firstLine="0"/>
        <w:rPr>
          <w:rFonts w:ascii="Open Sans" w:cs="Open Sans" w:eastAsia="Open Sans" w:hAnsi="Open Sans"/>
        </w:rPr>
        <w:sectPr>
          <w:type w:val="nextPage"/>
          <w:pgSz w:h="16838" w:w="11906" w:orient="portrait"/>
          <w:pgMar w:bottom="1440.0000000000002" w:top="1133.8582677165355" w:left="1440.0000000000002" w:right="1440.0000000000002" w:header="722" w:footer="0"/>
        </w:sectPr>
      </w:pPr>
      <w:r w:rsidDel="00000000" w:rsidR="00000000" w:rsidRPr="00000000">
        <w:rPr>
          <w:rtl w:val="0"/>
        </w:rPr>
      </w:r>
    </w:p>
    <w:p w:rsidR="00000000" w:rsidDel="00000000" w:rsidP="00000000" w:rsidRDefault="00000000" w:rsidRPr="00000000" w14:paraId="00000055">
      <w:pPr>
        <w:pStyle w:val="Heading2"/>
        <w:keepNext w:val="0"/>
        <w:keepLines w:val="0"/>
        <w:widowControl w:val="0"/>
        <w:spacing w:after="0" w:before="0" w:line="240" w:lineRule="auto"/>
        <w:ind w:right="-40.8661417322827"/>
        <w:rPr>
          <w:rFonts w:ascii="Open Sans" w:cs="Open Sans" w:eastAsia="Open Sans" w:hAnsi="Open Sans"/>
          <w:b w:val="1"/>
          <w:bCs w:val="1"/>
          <w:color w:val="00abd6"/>
        </w:rPr>
      </w:pPr>
      <w:bookmarkStart w:colFirst="0" w:colLast="0" w:name="_gb9edw8globi" w:id="4"/>
      <w:bookmarkEnd w:id="4"/>
      <w:r w:rsidDel="00000000" w:rsidR="00000000" w:rsidRPr="00000000">
        <w:rPr>
          <w:rFonts w:ascii="Open Sans" w:cs="Open Sans" w:eastAsia="Open Sans" w:hAnsi="Open Sans"/>
          <w:b w:val="1"/>
          <w:bCs w:val="1"/>
          <w:color w:val="00abd6"/>
          <w:rtl w:val="0"/>
        </w:rPr>
        <w:t xml:space="preserve">Section 4: Governance Structure and Roles</w:t>
      </w:r>
      <w:r w:rsidDel="00000000" w:rsidR="00000000" w:rsidRPr="00000000">
        <w:rPr>
          <w:rtl w:val="0"/>
        </w:rPr>
      </w:r>
    </w:p>
    <w:p w:rsidR="00000000" w:rsidDel="00000000" w:rsidP="00000000" w:rsidRDefault="00000000" w:rsidRPr="00000000" w14:paraId="00000056">
      <w:pPr>
        <w:widowControl w:val="0"/>
        <w:spacing w:before="200" w:line="288" w:lineRule="auto"/>
        <w:ind w:left="0" w:right="-40.8661417322827" w:firstLine="0"/>
        <w:jc w:val="both"/>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Smaller organisations do not need a large committee structure. What matters is that every one of these roles is actually assigned to a real person, even if one person holds more than one role.</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9525</wp:posOffset>
                </wp:positionH>
                <wp:positionV relativeFrom="paragraph">
                  <wp:posOffset>28575</wp:posOffset>
                </wp:positionV>
                <wp:extent cx="5715000" cy="15875"/>
                <wp:effectExtent b="0" l="0" r="0" t="0"/>
                <wp:wrapTopAndBottom distB="0" distT="0"/>
                <wp:docPr id="2" name=""/>
                <a:graphic>
                  <a:graphicData uri="http://schemas.microsoft.com/office/word/2010/wordprocessingShape">
                    <wps:wsp>
                      <wps:cNvSpPr/>
                      <wps:cNvPr id="2" name="Shape 2"/>
                      <wps:spPr>
                        <a:xfrm>
                          <a:off x="1924621" y="3779365"/>
                          <a:ext cx="6842759" cy="1270"/>
                        </a:xfrm>
                        <a:custGeom>
                          <a:rect b="b" l="l" r="r" t="t"/>
                          <a:pathLst>
                            <a:path extrusionOk="0" h="120000" w="6842759">
                              <a:moveTo>
                                <a:pt x="0" y="0"/>
                              </a:moveTo>
                              <a:lnTo>
                                <a:pt x="6842686" y="0"/>
                              </a:lnTo>
                            </a:path>
                          </a:pathLst>
                        </a:custGeom>
                        <a:noFill/>
                        <a:ln cap="flat" cmpd="sng" w="9525">
                          <a:solidFill>
                            <a:srgbClr val="00ABD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9525</wp:posOffset>
                </wp:positionH>
                <wp:positionV relativeFrom="paragraph">
                  <wp:posOffset>28575</wp:posOffset>
                </wp:positionV>
                <wp:extent cx="5715000" cy="15875"/>
                <wp:effectExtent b="0" l="0" r="0" t="0"/>
                <wp:wrapTopAndBottom distB="0" distT="0"/>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715000" cy="15875"/>
                        </a:xfrm>
                        <a:prstGeom prst="rect"/>
                        <a:ln/>
                      </pic:spPr>
                    </pic:pic>
                  </a:graphicData>
                </a:graphic>
              </wp:anchor>
            </w:drawing>
          </mc:Fallback>
        </mc:AlternateContent>
      </w:r>
    </w:p>
    <w:p w:rsidR="00000000" w:rsidDel="00000000" w:rsidP="00000000" w:rsidRDefault="00000000" w:rsidRPr="00000000" w14:paraId="00000057">
      <w:pPr>
        <w:widowControl w:val="0"/>
        <w:spacing w:before="3" w:line="240" w:lineRule="auto"/>
        <w:ind w:left="0" w:right="-40.8661417322827" w:firstLine="0"/>
        <w:rPr>
          <w:rFonts w:ascii="Open Sans" w:cs="Open Sans" w:eastAsia="Open Sans" w:hAnsi="Open Sans"/>
          <w:sz w:val="16"/>
          <w:szCs w:val="16"/>
        </w:rPr>
      </w:pPr>
      <w:r w:rsidDel="00000000" w:rsidR="00000000" w:rsidRPr="00000000">
        <w:rPr>
          <w:rtl w:val="0"/>
        </w:rPr>
      </w:r>
    </w:p>
    <w:tbl>
      <w:tblPr>
        <w:tblStyle w:val="Table4"/>
        <w:tblW w:w="8995.0" w:type="dxa"/>
        <w:jc w:val="left"/>
        <w:tblInd w:w="31.0" w:type="dxa"/>
        <w:tblBorders>
          <w:top w:color="9de3f5" w:space="0" w:sz="12" w:val="single"/>
          <w:left w:color="9de3f5" w:space="0" w:sz="12" w:val="single"/>
          <w:bottom w:color="9de3f5" w:space="0" w:sz="12" w:val="single"/>
          <w:right w:color="9de3f5" w:space="0" w:sz="12" w:val="single"/>
          <w:insideH w:color="9de3f5" w:space="0" w:sz="12" w:val="single"/>
          <w:insideV w:color="9de3f5" w:space="0" w:sz="12" w:val="single"/>
        </w:tblBorders>
        <w:tblLayout w:type="fixed"/>
        <w:tblLook w:val="0000"/>
      </w:tblPr>
      <w:tblGrid>
        <w:gridCol w:w="2260"/>
        <w:gridCol w:w="2260"/>
        <w:gridCol w:w="4475"/>
        <w:tblGridChange w:id="0">
          <w:tblGrid>
            <w:gridCol w:w="2260"/>
            <w:gridCol w:w="2260"/>
            <w:gridCol w:w="4475"/>
          </w:tblGrid>
        </w:tblGridChange>
      </w:tblGrid>
      <w:tr>
        <w:trPr>
          <w:cantSplit w:val="0"/>
          <w:trHeight w:val="255" w:hRule="atLeast"/>
          <w:tblHeader w:val="0"/>
        </w:trPr>
        <w:tc>
          <w:tcPr>
            <w:tcBorders>
              <w:top w:color="000000" w:space="0" w:sz="0" w:val="nil"/>
              <w:bottom w:color="000000" w:space="0" w:sz="0" w:val="nil"/>
              <w:right w:color="ffffff" w:space="0" w:sz="12" w:val="single"/>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58">
            <w:pPr>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Role</w:t>
            </w:r>
          </w:p>
        </w:tc>
        <w:tc>
          <w:tcPr>
            <w:tcBorders>
              <w:top w:color="000000" w:space="0" w:sz="0" w:val="nil"/>
              <w:left w:color="ffffff" w:space="0" w:sz="12" w:val="single"/>
              <w:bottom w:color="000000" w:space="0" w:sz="0" w:val="nil"/>
              <w:right w:color="ffffff" w:space="0" w:sz="12" w:val="single"/>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59">
            <w:pPr>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Who (fill in)</w:t>
            </w:r>
          </w:p>
        </w:tc>
        <w:tc>
          <w:tcPr>
            <w:tcBorders>
              <w:top w:color="000000" w:space="0" w:sz="0" w:val="nil"/>
              <w:left w:color="ffffff" w:space="0" w:sz="12" w:val="single"/>
              <w:bottom w:color="000000" w:space="0" w:sz="0" w:val="nil"/>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5A">
            <w:pPr>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Responsible for</w:t>
            </w:r>
          </w:p>
        </w:tc>
      </w:tr>
      <w:tr>
        <w:trPr>
          <w:cantSplit w:val="0"/>
          <w:trHeight w:val="1050" w:hRule="atLeast"/>
          <w:tblHeader w:val="0"/>
        </w:trPr>
        <w:tc>
          <w:tcPr>
            <w:tcBorders>
              <w:top w:color="000000" w:space="0" w:sz="0" w:val="nil"/>
            </w:tcBorders>
            <w:tcMar>
              <w:top w:w="56.69291338582678" w:type="dxa"/>
              <w:left w:w="56.69291338582678" w:type="dxa"/>
              <w:bottom w:w="56.69291338582678" w:type="dxa"/>
              <w:right w:w="56.69291338582678" w:type="dxa"/>
            </w:tcMar>
          </w:tcPr>
          <w:p w:rsidR="00000000" w:rsidDel="00000000" w:rsidP="00000000" w:rsidRDefault="00000000" w:rsidRPr="00000000" w14:paraId="0000005B">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C">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Board / Founder(s)</w:t>
            </w:r>
          </w:p>
        </w:tc>
        <w:tc>
          <w:tcPr>
            <w:tcBorders>
              <w:top w:color="000000" w:space="0" w:sz="0" w:val="nil"/>
            </w:tcBorders>
            <w:tcMar>
              <w:top w:w="56.69291338582678" w:type="dxa"/>
              <w:left w:w="56.69291338582678" w:type="dxa"/>
              <w:bottom w:w="56.69291338582678" w:type="dxa"/>
              <w:right w:w="56.69291338582678" w:type="dxa"/>
            </w:tcMar>
          </w:tcPr>
          <w:p w:rsidR="00000000" w:rsidDel="00000000" w:rsidP="00000000" w:rsidRDefault="00000000" w:rsidRPr="00000000" w14:paraId="0000005D">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E">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[Name/Title]</w:t>
            </w:r>
          </w:p>
        </w:tc>
        <w:tc>
          <w:tcPr>
            <w:tcBorders>
              <w:top w:color="000000" w:space="0" w:sz="0" w:val="nil"/>
            </w:tcBorders>
            <w:tcMar>
              <w:top w:w="56.69291338582678" w:type="dxa"/>
              <w:left w:w="56.69291338582678" w:type="dxa"/>
              <w:bottom w:w="56.69291338582678" w:type="dxa"/>
              <w:right w:w="56.69291338582678" w:type="dxa"/>
            </w:tcMar>
          </w:tcPr>
          <w:p w:rsidR="00000000" w:rsidDel="00000000" w:rsidP="00000000" w:rsidRDefault="00000000" w:rsidRPr="00000000" w14:paraId="0000005F">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Ultimate accountability for data governance; approves this Charter and resources it (budget, staff time, training).</w:t>
            </w:r>
          </w:p>
        </w:tc>
      </w:tr>
      <w:tr>
        <w:trPr>
          <w:cantSplit w:val="0"/>
          <w:trHeight w:val="1058"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60">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1">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Data Protection Lead / DPO</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62">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3">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[Name/Title]</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64">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Day-to-day compliance; advises staff; handles data subject requests; leads on DPIAs and breach response. See note below.</w:t>
            </w:r>
          </w:p>
        </w:tc>
      </w:tr>
      <w:tr>
        <w:trPr>
          <w:cantSplit w:val="0"/>
          <w:trHeight w:val="105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65">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Team / Department Leads (Data Owners)</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66">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7">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[Name/Title]</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68">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Know what personal data their team holds and why; ensure their team follows this Charter and its supporting policies.</w:t>
            </w:r>
          </w:p>
        </w:tc>
      </w:tr>
      <w:tr>
        <w:trPr>
          <w:cantSplit w:val="0"/>
          <w:trHeight w:val="795"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69">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IT / Systems Admin (Data Custodian)</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6A">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B">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[Name/Title]</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6C">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Technical safeguards: access controls, backups, encryption, and technical response to security incidents.</w:t>
            </w:r>
          </w:p>
        </w:tc>
      </w:tr>
      <w:tr>
        <w:trPr>
          <w:cantSplit w:val="0"/>
          <w:trHeight w:val="105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6D">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E">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All Staff and Volunteers</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6F">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70">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Everyone</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71">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Complete data protection training; follow this Charter in day-to-day work; report suspected risks or breaches immediately.</w:t>
            </w:r>
          </w:p>
        </w:tc>
      </w:tr>
      <w:tr>
        <w:trPr>
          <w:cantSplit w:val="0"/>
          <w:trHeight w:val="795"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72">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External Partners / Processors</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73">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74">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[Vendor names]</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75">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Follow the data-processing terms in their contract with us; notify us immediately of any breach on their side.</w:t>
            </w:r>
          </w:p>
        </w:tc>
      </w:tr>
      <w:tr>
        <w:trPr>
          <w:cantSplit w:val="0"/>
          <w:trHeight w:val="54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76">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Role</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77">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Who (fill in)</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78">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Responsible for</w:t>
            </w:r>
          </w:p>
        </w:tc>
      </w:tr>
      <w:tr>
        <w:trPr>
          <w:cantSplit w:val="0"/>
          <w:trHeight w:val="1050" w:hRule="atLeast"/>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079">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7A">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Board / Founder(s)</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7B">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7C">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[Name/Title]</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07D">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Ultimate accountability for data governance; approves this Charter and resources it (budget, staff time, training).</w:t>
            </w:r>
          </w:p>
        </w:tc>
      </w:tr>
    </w:tbl>
    <w:p w:rsidR="00000000" w:rsidDel="00000000" w:rsidP="00000000" w:rsidRDefault="00000000" w:rsidRPr="00000000" w14:paraId="0000007E">
      <w:pPr>
        <w:widowControl w:val="0"/>
        <w:spacing w:before="104" w:line="242" w:lineRule="auto"/>
        <w:ind w:left="0" w:right="-40.8661417322827" w:firstLine="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rtl w:val="0"/>
        </w:rPr>
        <w:t xml:space="preserve">Appointing a Data Protection Officer is not automatically mandatory for every organisation under the Data Protection Act, 2019, but the responsibility must sit somewhere. Check the ODPC’s current Guidance Notes for Data Protection Officers (DPOs)</w:t>
      </w:r>
      <w:r w:rsidDel="00000000" w:rsidR="00000000" w:rsidRPr="00000000">
        <w:rPr>
          <w:rFonts w:ascii="Open Sans" w:cs="Open Sans" w:eastAsia="Open Sans" w:hAnsi="Open Sans"/>
          <w:i w:val="1"/>
          <w:iCs w:val="1"/>
          <w:vertAlign w:val="superscript"/>
        </w:rPr>
        <w:footnoteReference w:customMarkFollows="0" w:id="0"/>
      </w:r>
      <w:r w:rsidDel="00000000" w:rsidR="00000000" w:rsidRPr="00000000">
        <w:rPr>
          <w:rFonts w:ascii="Open Sans" w:cs="Open Sans" w:eastAsia="Open Sans" w:hAnsi="Open Sans"/>
          <w:i w:val="1"/>
          <w:iCs w:val="1"/>
          <w:rtl w:val="0"/>
        </w:rPr>
        <w:t xml:space="preserve"> to see whether an appointment is required for your organisation’s size and type of processing, and consult the ODPC’s Guidance Notes on Processing by MSMEs</w:t>
      </w:r>
      <w:r w:rsidDel="00000000" w:rsidR="00000000" w:rsidRPr="00000000">
        <w:rPr>
          <w:rFonts w:ascii="Open Sans" w:cs="Open Sans" w:eastAsia="Open Sans" w:hAnsi="Open Sans"/>
          <w:i w:val="1"/>
          <w:iCs w:val="1"/>
          <w:vertAlign w:val="superscript"/>
        </w:rPr>
        <w:footnoteReference w:customMarkFollows="0" w:id="1"/>
      </w:r>
      <w:r w:rsidDel="00000000" w:rsidR="00000000" w:rsidRPr="00000000">
        <w:rPr>
          <w:rFonts w:ascii="Open Sans" w:cs="Open Sans" w:eastAsia="Open Sans" w:hAnsi="Open Sans"/>
          <w:i w:val="1"/>
          <w:iCs w:val="1"/>
          <w:rtl w:val="0"/>
        </w:rPr>
        <w:t xml:space="preserve"> if you are a small or medium enterprise.</w:t>
      </w:r>
      <w:r w:rsidDel="00000000" w:rsidR="00000000" w:rsidRPr="00000000">
        <w:rPr>
          <w:rtl w:val="0"/>
        </w:rPr>
      </w:r>
    </w:p>
    <w:p w:rsidR="00000000" w:rsidDel="00000000" w:rsidP="00000000" w:rsidRDefault="00000000" w:rsidRPr="00000000" w14:paraId="0000007F">
      <w:pPr>
        <w:widowControl w:val="0"/>
        <w:spacing w:line="240" w:lineRule="auto"/>
        <w:ind w:left="0" w:right="-40.8661417322827" w:firstLine="0"/>
        <w:rPr>
          <w:rFonts w:ascii="Open Sans" w:cs="Open Sans" w:eastAsia="Open Sans" w:hAnsi="Open Sans"/>
          <w:i w:val="1"/>
          <w:iCs w:val="1"/>
          <w:sz w:val="20"/>
          <w:szCs w:val="20"/>
        </w:rPr>
      </w:pPr>
      <w:r w:rsidDel="00000000" w:rsidR="00000000" w:rsidRPr="00000000">
        <w:rPr>
          <w:rtl w:val="0"/>
        </w:rPr>
      </w:r>
    </w:p>
    <w:p w:rsidR="00000000" w:rsidDel="00000000" w:rsidP="00000000" w:rsidRDefault="00000000" w:rsidRPr="00000000" w14:paraId="00000080">
      <w:pPr>
        <w:widowControl w:val="0"/>
        <w:spacing w:before="33" w:line="240" w:lineRule="auto"/>
        <w:ind w:left="0" w:right="-40.8661417322827" w:firstLine="0"/>
        <w:rPr>
          <w:rFonts w:ascii="Open Sans" w:cs="Open Sans" w:eastAsia="Open Sans" w:hAnsi="Open Sans"/>
          <w:i w:val="1"/>
          <w:iCs w:val="1"/>
          <w:sz w:val="18"/>
          <w:szCs w:val="18"/>
        </w:rPr>
        <w:sectPr>
          <w:type w:val="nextPage"/>
          <w:pgSz w:h="16838" w:w="11906" w:orient="portrait"/>
          <w:pgMar w:bottom="1440.0000000000002" w:top="1133.8582677165355" w:left="1440.0000000000002" w:right="1440.0000000000002" w:header="722" w:footer="0"/>
        </w:sectPr>
      </w:pPr>
      <w:r w:rsidDel="00000000" w:rsidR="00000000" w:rsidRPr="00000000">
        <w:rPr>
          <w:rtl w:val="0"/>
        </w:rPr>
      </w:r>
    </w:p>
    <w:p w:rsidR="00000000" w:rsidDel="00000000" w:rsidP="00000000" w:rsidRDefault="00000000" w:rsidRPr="00000000" w14:paraId="00000081">
      <w:pPr>
        <w:widowControl w:val="0"/>
        <w:spacing w:before="264" w:line="288" w:lineRule="auto"/>
        <w:ind w:left="0" w:right="-40.8661417322827" w:firstLine="0"/>
        <w:rPr>
          <w:rFonts w:ascii="Open Sans" w:cs="Open Sans" w:eastAsia="Open Sans" w:hAnsi="Open Sans"/>
          <w:sz w:val="24"/>
          <w:szCs w:val="24"/>
        </w:rPr>
      </w:pPr>
      <w:r w:rsidDel="00000000" w:rsidR="00000000" w:rsidRPr="00000000">
        <w:rPr>
          <w:rFonts w:ascii="Open Sans" w:cs="Open Sans" w:eastAsia="Open Sans" w:hAnsi="Open Sans"/>
          <w:b w:val="1"/>
          <w:bCs w:val="1"/>
          <w:color w:val="00abd6"/>
          <w:sz w:val="32"/>
          <w:szCs w:val="32"/>
          <w:rtl w:val="0"/>
        </w:rPr>
        <w:t xml:space="preserve">Section 5: The Building Blocks</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8100</wp:posOffset>
                </wp:positionH>
                <wp:positionV relativeFrom="paragraph">
                  <wp:posOffset>480655</wp:posOffset>
                </wp:positionV>
                <wp:extent cx="5715000" cy="15875"/>
                <wp:effectExtent b="0" l="0" r="0" t="0"/>
                <wp:wrapTopAndBottom distB="0" distT="0"/>
                <wp:docPr id="5" name=""/>
                <a:graphic>
                  <a:graphicData uri="http://schemas.microsoft.com/office/word/2010/wordprocessingShape">
                    <wps:wsp>
                      <wps:cNvSpPr/>
                      <wps:cNvPr id="2" name="Shape 2"/>
                      <wps:spPr>
                        <a:xfrm>
                          <a:off x="1924621" y="3779365"/>
                          <a:ext cx="6842759" cy="1270"/>
                        </a:xfrm>
                        <a:custGeom>
                          <a:rect b="b" l="l" r="r" t="t"/>
                          <a:pathLst>
                            <a:path extrusionOk="0" h="120000" w="6842759">
                              <a:moveTo>
                                <a:pt x="0" y="0"/>
                              </a:moveTo>
                              <a:lnTo>
                                <a:pt x="6842686" y="0"/>
                              </a:lnTo>
                            </a:path>
                          </a:pathLst>
                        </a:custGeom>
                        <a:noFill/>
                        <a:ln cap="flat" cmpd="sng" w="9525">
                          <a:solidFill>
                            <a:srgbClr val="00ABD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8100</wp:posOffset>
                </wp:positionH>
                <wp:positionV relativeFrom="paragraph">
                  <wp:posOffset>480655</wp:posOffset>
                </wp:positionV>
                <wp:extent cx="5715000" cy="15875"/>
                <wp:effectExtent b="0" l="0" r="0" t="0"/>
                <wp:wrapTopAndBottom distB="0" distT="0"/>
                <wp:docPr id="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715000" cy="15875"/>
                        </a:xfrm>
                        <a:prstGeom prst="rect"/>
                        <a:ln/>
                      </pic:spPr>
                    </pic:pic>
                  </a:graphicData>
                </a:graphic>
              </wp:anchor>
            </w:drawing>
          </mc:Fallback>
        </mc:AlternateContent>
      </w:r>
    </w:p>
    <w:p w:rsidR="00000000" w:rsidDel="00000000" w:rsidP="00000000" w:rsidRDefault="00000000" w:rsidRPr="00000000" w14:paraId="00000082">
      <w:pPr>
        <w:widowControl w:val="0"/>
        <w:spacing w:before="200" w:line="288" w:lineRule="auto"/>
        <w:ind w:left="0" w:right="-40.8661417322827" w:firstLine="0"/>
        <w:jc w:val="both"/>
        <w:rPr>
          <w:rFonts w:ascii="Open Sans" w:cs="Open Sans" w:eastAsia="Open Sans" w:hAnsi="Open Sans"/>
          <w:i w:val="1"/>
          <w:iCs w:val="1"/>
          <w:sz w:val="24"/>
          <w:szCs w:val="24"/>
        </w:rPr>
      </w:pPr>
      <w:r w:rsidDel="00000000" w:rsidR="00000000" w:rsidRPr="00000000">
        <w:rPr>
          <w:rFonts w:ascii="Open Sans" w:cs="Open Sans" w:eastAsia="Open Sans" w:hAnsi="Open Sans"/>
          <w:sz w:val="24"/>
          <w:szCs w:val="24"/>
          <w:rtl w:val="0"/>
        </w:rPr>
        <w:t xml:space="preserve">This Charter sets direction through practical tools that turn it into everyday practice. </w:t>
      </w:r>
      <w:r w:rsidDel="00000000" w:rsidR="00000000" w:rsidRPr="00000000">
        <w:rPr>
          <w:rFonts w:ascii="Open Sans" w:cs="Open Sans" w:eastAsia="Open Sans" w:hAnsi="Open Sans"/>
          <w:i w:val="1"/>
          <w:iCs w:val="1"/>
          <w:sz w:val="24"/>
          <w:szCs w:val="24"/>
          <w:rtl w:val="0"/>
        </w:rPr>
        <w:t xml:space="preserve">[You do not need all of them on day one, but every organisation handling personal data should be working towards having each of them in place.]</w:t>
      </w:r>
    </w:p>
    <w:p w:rsidR="00000000" w:rsidDel="00000000" w:rsidP="00000000" w:rsidRDefault="00000000" w:rsidRPr="00000000" w14:paraId="00000083">
      <w:pPr>
        <w:keepNext w:val="0"/>
        <w:keepLines w:val="0"/>
        <w:widowControl w:val="0"/>
        <w:numPr>
          <w:ilvl w:val="0"/>
          <w:numId w:val="2"/>
        </w:numPr>
        <w:tabs>
          <w:tab w:val="left" w:leader="none" w:pos="267"/>
        </w:tabs>
        <w:spacing w:after="0" w:before="199" w:line="240" w:lineRule="auto"/>
        <w:ind w:left="720" w:right="-40.8661417322827" w:hanging="360"/>
        <w:rPr>
          <w:sz w:val="24"/>
          <w:szCs w:val="24"/>
        </w:rPr>
      </w:pPr>
      <w:r w:rsidDel="00000000" w:rsidR="00000000" w:rsidRPr="00000000">
        <w:rPr>
          <w:rFonts w:ascii="Open Sans" w:cs="Open Sans" w:eastAsia="Open Sans" w:hAnsi="Open Sans"/>
          <w:b w:val="1"/>
          <w:bCs w:val="1"/>
          <w:sz w:val="24"/>
          <w:szCs w:val="24"/>
          <w:rtl w:val="0"/>
        </w:rPr>
        <w:t xml:space="preserve">Data Inventory (Data Map)</w:t>
      </w:r>
      <w:r w:rsidDel="00000000" w:rsidR="00000000" w:rsidRPr="00000000">
        <w:rPr>
          <w:rtl w:val="0"/>
        </w:rPr>
      </w:r>
    </w:p>
    <w:p w:rsidR="00000000" w:rsidDel="00000000" w:rsidP="00000000" w:rsidRDefault="00000000" w:rsidRPr="00000000" w14:paraId="00000084">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simple list of what personal data you hold, why you collect it, where it is stored, who can access it, and how long you keep it. Start with a spreadsheet: one row per type of data. This is the foundation everything else builds on.</w:t>
      </w:r>
    </w:p>
    <w:p w:rsidR="00000000" w:rsidDel="00000000" w:rsidP="00000000" w:rsidRDefault="00000000" w:rsidRPr="00000000" w14:paraId="00000085">
      <w:pPr>
        <w:keepNext w:val="0"/>
        <w:keepLines w:val="0"/>
        <w:widowControl w:val="0"/>
        <w:numPr>
          <w:ilvl w:val="0"/>
          <w:numId w:val="2"/>
        </w:numPr>
        <w:tabs>
          <w:tab w:val="left" w:leader="none" w:pos="267"/>
        </w:tabs>
        <w:spacing w:after="0" w:before="158" w:line="240" w:lineRule="auto"/>
        <w:ind w:left="720" w:right="-40.8661417322827" w:hanging="360"/>
        <w:rPr>
          <w:sz w:val="24"/>
          <w:szCs w:val="24"/>
        </w:rPr>
      </w:pPr>
      <w:r w:rsidDel="00000000" w:rsidR="00000000" w:rsidRPr="00000000">
        <w:rPr>
          <w:rFonts w:ascii="Open Sans" w:cs="Open Sans" w:eastAsia="Open Sans" w:hAnsi="Open Sans"/>
          <w:b w:val="1"/>
          <w:bCs w:val="1"/>
          <w:sz w:val="24"/>
          <w:szCs w:val="24"/>
          <w:rtl w:val="0"/>
        </w:rPr>
        <w:t xml:space="preserve">Privacy Notice</w:t>
      </w:r>
      <w:r w:rsidDel="00000000" w:rsidR="00000000" w:rsidRPr="00000000">
        <w:rPr>
          <w:rtl w:val="0"/>
        </w:rPr>
      </w:r>
    </w:p>
    <w:p w:rsidR="00000000" w:rsidDel="00000000" w:rsidP="00000000" w:rsidRDefault="00000000" w:rsidRPr="00000000" w14:paraId="00000086">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short, plain-language statement telling people what data you are collecting, why, and what you do with it, given before or at the point you collect their data. Avoid legal jargon; write it the way you would explain it to a friend.</w:t>
      </w:r>
    </w:p>
    <w:p w:rsidR="00000000" w:rsidDel="00000000" w:rsidP="00000000" w:rsidRDefault="00000000" w:rsidRPr="00000000" w14:paraId="00000087">
      <w:pPr>
        <w:keepNext w:val="0"/>
        <w:keepLines w:val="0"/>
        <w:widowControl w:val="0"/>
        <w:numPr>
          <w:ilvl w:val="0"/>
          <w:numId w:val="2"/>
        </w:numPr>
        <w:tabs>
          <w:tab w:val="left" w:leader="none" w:pos="267"/>
        </w:tabs>
        <w:spacing w:after="0" w:before="159" w:line="240" w:lineRule="auto"/>
        <w:ind w:left="720" w:right="-40.8661417322827" w:hanging="360"/>
        <w:rPr/>
      </w:pPr>
      <w:r w:rsidDel="00000000" w:rsidR="00000000" w:rsidRPr="00000000">
        <w:rPr>
          <w:rFonts w:ascii="Open Sans" w:cs="Open Sans" w:eastAsia="Open Sans" w:hAnsi="Open Sans"/>
          <w:b w:val="1"/>
          <w:bCs w:val="1"/>
          <w:sz w:val="24"/>
          <w:szCs w:val="24"/>
          <w:rtl w:val="0"/>
        </w:rPr>
        <w:t xml:space="preserve">Data Protection Policy</w:t>
      </w:r>
      <w:r w:rsidDel="00000000" w:rsidR="00000000" w:rsidRPr="00000000">
        <w:rPr>
          <w:rtl w:val="0"/>
        </w:rPr>
      </w:r>
    </w:p>
    <w:p w:rsidR="00000000" w:rsidDel="00000000" w:rsidP="00000000" w:rsidRDefault="00000000" w:rsidRPr="00000000" w14:paraId="00000088">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Your internal rulebook: retention periods, who can access what, security measures, and how you handle data subject requests. The ODPC’s Guidance Notes for Data Protection Policies</w:t>
      </w:r>
      <w:r w:rsidDel="00000000" w:rsidR="00000000" w:rsidRPr="00000000">
        <w:rPr>
          <w:rFonts w:ascii="Open Sans" w:cs="Open Sans" w:eastAsia="Open Sans" w:hAnsi="Open Sans"/>
          <w:vertAlign w:val="superscript"/>
        </w:rPr>
        <w:footnoteReference w:customMarkFollows="0" w:id="2"/>
      </w:r>
      <w:r w:rsidDel="00000000" w:rsidR="00000000" w:rsidRPr="00000000">
        <w:rPr>
          <w:rFonts w:ascii="Open Sans" w:cs="Open Sans" w:eastAsia="Open Sans" w:hAnsi="Open Sans"/>
          <w:rtl w:val="0"/>
        </w:rPr>
        <w:t xml:space="preserve"> sets out what a compliant policy should cover.</w:t>
      </w:r>
    </w:p>
    <w:p w:rsidR="00000000" w:rsidDel="00000000" w:rsidP="00000000" w:rsidRDefault="00000000" w:rsidRPr="00000000" w14:paraId="00000089">
      <w:pPr>
        <w:keepNext w:val="0"/>
        <w:keepLines w:val="0"/>
        <w:widowControl w:val="0"/>
        <w:numPr>
          <w:ilvl w:val="0"/>
          <w:numId w:val="2"/>
        </w:numPr>
        <w:tabs>
          <w:tab w:val="left" w:leader="none" w:pos="267"/>
        </w:tabs>
        <w:spacing w:after="0" w:before="158" w:line="240" w:lineRule="auto"/>
        <w:ind w:left="720" w:right="-40.8661417322827" w:hanging="360"/>
        <w:rPr/>
      </w:pPr>
      <w:r w:rsidDel="00000000" w:rsidR="00000000" w:rsidRPr="00000000">
        <w:rPr>
          <w:rFonts w:ascii="Open Sans" w:cs="Open Sans" w:eastAsia="Open Sans" w:hAnsi="Open Sans"/>
          <w:b w:val="1"/>
          <w:bCs w:val="1"/>
          <w:sz w:val="24"/>
          <w:szCs w:val="24"/>
          <w:rtl w:val="0"/>
        </w:rPr>
        <w:t xml:space="preserve">Retention Schedule</w:t>
      </w:r>
      <w:r w:rsidDel="00000000" w:rsidR="00000000" w:rsidRPr="00000000">
        <w:rPr>
          <w:rtl w:val="0"/>
        </w:rPr>
      </w:r>
    </w:p>
    <w:p w:rsidR="00000000" w:rsidDel="00000000" w:rsidP="00000000" w:rsidRDefault="00000000" w:rsidRPr="00000000" w14:paraId="0000008A">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simple table: data type, how long you keep it, and what happens after (delete or archive). Without this, data tends to accumulate indefinitely by default, which is itself a risk.</w:t>
      </w:r>
    </w:p>
    <w:p w:rsidR="00000000" w:rsidDel="00000000" w:rsidP="00000000" w:rsidRDefault="00000000" w:rsidRPr="00000000" w14:paraId="0000008B">
      <w:pPr>
        <w:keepNext w:val="0"/>
        <w:keepLines w:val="0"/>
        <w:widowControl w:val="0"/>
        <w:numPr>
          <w:ilvl w:val="0"/>
          <w:numId w:val="2"/>
        </w:numPr>
        <w:tabs>
          <w:tab w:val="left" w:leader="none" w:pos="267"/>
        </w:tabs>
        <w:spacing w:after="0" w:before="159" w:line="240" w:lineRule="auto"/>
        <w:ind w:left="720" w:right="-40.8661417322827" w:hanging="360"/>
        <w:rPr/>
      </w:pPr>
      <w:r w:rsidDel="00000000" w:rsidR="00000000" w:rsidRPr="00000000">
        <w:rPr>
          <w:rFonts w:ascii="Open Sans" w:cs="Open Sans" w:eastAsia="Open Sans" w:hAnsi="Open Sans"/>
          <w:b w:val="1"/>
          <w:bCs w:val="1"/>
          <w:sz w:val="24"/>
          <w:szCs w:val="24"/>
          <w:rtl w:val="0"/>
        </w:rPr>
        <w:t xml:space="preserve">Data Protection Impact Assessment (DPIA)</w:t>
      </w:r>
      <w:r w:rsidDel="00000000" w:rsidR="00000000" w:rsidRPr="00000000">
        <w:rPr>
          <w:rtl w:val="0"/>
        </w:rPr>
      </w:r>
    </w:p>
    <w:p w:rsidR="00000000" w:rsidDel="00000000" w:rsidP="00000000" w:rsidRDefault="00000000" w:rsidRPr="00000000" w14:paraId="0000008C">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structured risk check carried out before starting a new or high-risk activity (a new app, a new database, collecting sensitive data, or working with children’s data). If your organisation has a separate privacy risk assessment tool, use it here; otherwise, the ODPC’s Guidance Note on Data Protection Impact Assessment sets out the expected process.</w:t>
      </w:r>
    </w:p>
    <w:p w:rsidR="00000000" w:rsidDel="00000000" w:rsidP="00000000" w:rsidRDefault="00000000" w:rsidRPr="00000000" w14:paraId="0000008D">
      <w:pPr>
        <w:keepNext w:val="0"/>
        <w:keepLines w:val="0"/>
        <w:widowControl w:val="0"/>
        <w:numPr>
          <w:ilvl w:val="0"/>
          <w:numId w:val="2"/>
        </w:numPr>
        <w:tabs>
          <w:tab w:val="left" w:leader="none" w:pos="267"/>
        </w:tabs>
        <w:spacing w:after="0" w:before="158" w:line="240" w:lineRule="auto"/>
        <w:ind w:left="720" w:right="-40.8661417322827" w:hanging="360"/>
        <w:rPr/>
      </w:pPr>
      <w:r w:rsidDel="00000000" w:rsidR="00000000" w:rsidRPr="00000000">
        <w:rPr>
          <w:rFonts w:ascii="Open Sans" w:cs="Open Sans" w:eastAsia="Open Sans" w:hAnsi="Open Sans"/>
          <w:b w:val="1"/>
          <w:bCs w:val="1"/>
          <w:sz w:val="24"/>
          <w:szCs w:val="24"/>
          <w:rtl w:val="0"/>
        </w:rPr>
        <w:t xml:space="preserve">Consent and Rights Log</w:t>
      </w:r>
      <w:r w:rsidDel="00000000" w:rsidR="00000000" w:rsidRPr="00000000">
        <w:rPr>
          <w:rtl w:val="0"/>
        </w:rPr>
      </w:r>
    </w:p>
    <w:p w:rsidR="00000000" w:rsidDel="00000000" w:rsidP="00000000" w:rsidRDefault="00000000" w:rsidRPr="00000000" w14:paraId="0000008E">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record of consents given or withdrawn, and of any data subject requests (to access, correct, or delete their data) and how you responded, including the date and whether you met the response deadline.</w:t>
      </w:r>
    </w:p>
    <w:p w:rsidR="00000000" w:rsidDel="00000000" w:rsidP="00000000" w:rsidRDefault="00000000" w:rsidRPr="00000000" w14:paraId="0000008F">
      <w:pPr>
        <w:keepNext w:val="0"/>
        <w:keepLines w:val="0"/>
        <w:widowControl w:val="0"/>
        <w:numPr>
          <w:ilvl w:val="0"/>
          <w:numId w:val="2"/>
        </w:numPr>
        <w:tabs>
          <w:tab w:val="left" w:leader="none" w:pos="267"/>
        </w:tabs>
        <w:spacing w:after="0" w:before="159" w:line="240" w:lineRule="auto"/>
        <w:ind w:left="720" w:right="-40.8661417322827" w:hanging="360"/>
        <w:rPr/>
      </w:pPr>
      <w:r w:rsidDel="00000000" w:rsidR="00000000" w:rsidRPr="00000000">
        <w:rPr>
          <w:rFonts w:ascii="Open Sans" w:cs="Open Sans" w:eastAsia="Open Sans" w:hAnsi="Open Sans"/>
          <w:b w:val="1"/>
          <w:bCs w:val="1"/>
          <w:sz w:val="24"/>
          <w:szCs w:val="24"/>
          <w:rtl w:val="0"/>
        </w:rPr>
        <w:t xml:space="preserve">Incident and Breach Response Plan</w:t>
      </w:r>
      <w:r w:rsidDel="00000000" w:rsidR="00000000" w:rsidRPr="00000000">
        <w:rPr>
          <w:rtl w:val="0"/>
        </w:rPr>
      </w:r>
    </w:p>
    <w:p w:rsidR="00000000" w:rsidDel="00000000" w:rsidP="00000000" w:rsidRDefault="00000000" w:rsidRPr="00000000" w14:paraId="00000090">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short, rehearsed plan: who to notify internally, when and how to notify the ODPC and affected individuals, and the immediate steps to contain and investigate an incident. Write this before you need it, not during a crisis.</w:t>
      </w:r>
    </w:p>
    <w:p w:rsidR="00000000" w:rsidDel="00000000" w:rsidP="00000000" w:rsidRDefault="00000000" w:rsidRPr="00000000" w14:paraId="00000091">
      <w:pPr>
        <w:keepNext w:val="0"/>
        <w:keepLines w:val="0"/>
        <w:widowControl w:val="0"/>
        <w:numPr>
          <w:ilvl w:val="0"/>
          <w:numId w:val="2"/>
        </w:numPr>
        <w:tabs>
          <w:tab w:val="left" w:leader="none" w:pos="270"/>
        </w:tabs>
        <w:spacing w:after="0" w:before="159" w:line="240" w:lineRule="auto"/>
        <w:ind w:left="720" w:right="-40.8661417322827" w:hanging="360"/>
        <w:rPr/>
      </w:pPr>
      <w:r w:rsidDel="00000000" w:rsidR="00000000" w:rsidRPr="00000000">
        <w:rPr>
          <w:rFonts w:ascii="Open Sans" w:cs="Open Sans" w:eastAsia="Open Sans" w:hAnsi="Open Sans"/>
          <w:b w:val="1"/>
          <w:bCs w:val="1"/>
          <w:sz w:val="24"/>
          <w:szCs w:val="24"/>
          <w:rtl w:val="0"/>
        </w:rPr>
        <w:t xml:space="preserve">Vendor and Third-Party Checklist</w:t>
      </w:r>
      <w:r w:rsidDel="00000000" w:rsidR="00000000" w:rsidRPr="00000000">
        <w:rPr>
          <w:rtl w:val="0"/>
        </w:rPr>
      </w:r>
    </w:p>
    <w:p w:rsidR="00000000" w:rsidDel="00000000" w:rsidP="00000000" w:rsidRDefault="00000000" w:rsidRPr="00000000" w14:paraId="00000092">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Before sharing personal data with any supplier (cloud host, payroll provider, email tool, analytics service), check they have adequate safeguards and sign a data-processing agreement setting out their obligations.</w:t>
      </w:r>
    </w:p>
    <w:p w:rsidR="00000000" w:rsidDel="00000000" w:rsidP="00000000" w:rsidRDefault="00000000" w:rsidRPr="00000000" w14:paraId="00000093">
      <w:pPr>
        <w:keepNext w:val="0"/>
        <w:keepLines w:val="0"/>
        <w:widowControl w:val="0"/>
        <w:numPr>
          <w:ilvl w:val="0"/>
          <w:numId w:val="2"/>
        </w:numPr>
        <w:tabs>
          <w:tab w:val="left" w:leader="none" w:pos="267"/>
        </w:tabs>
        <w:spacing w:after="0" w:before="159" w:line="240" w:lineRule="auto"/>
        <w:ind w:left="720" w:right="-40.8661417322827" w:hanging="360"/>
        <w:rPr/>
      </w:pPr>
      <w:r w:rsidDel="00000000" w:rsidR="00000000" w:rsidRPr="00000000">
        <w:rPr>
          <w:rFonts w:ascii="Open Sans" w:cs="Open Sans" w:eastAsia="Open Sans" w:hAnsi="Open Sans"/>
          <w:b w:val="1"/>
          <w:bCs w:val="1"/>
          <w:sz w:val="24"/>
          <w:szCs w:val="24"/>
          <w:rtl w:val="0"/>
        </w:rPr>
        <w:t xml:space="preserve">Training and Awareness Plan</w:t>
      </w:r>
      <w:r w:rsidDel="00000000" w:rsidR="00000000" w:rsidRPr="00000000">
        <w:rPr>
          <w:rtl w:val="0"/>
        </w:rPr>
      </w:r>
    </w:p>
    <w:p w:rsidR="00000000" w:rsidDel="00000000" w:rsidP="00000000" w:rsidRDefault="00000000" w:rsidRPr="00000000" w14:paraId="00000094">
      <w:pPr>
        <w:widowControl w:val="0"/>
        <w:spacing w:before="53" w:line="285" w:lineRule="auto"/>
        <w:ind w:left="268" w:right="-40.8661417322827" w:firstLine="0"/>
        <w:rPr>
          <w:rFonts w:ascii="Open Sans" w:cs="Open Sans" w:eastAsia="Open Sans" w:hAnsi="Open Sans"/>
        </w:rPr>
      </w:pPr>
      <w:r w:rsidDel="00000000" w:rsidR="00000000" w:rsidRPr="00000000">
        <w:rPr>
          <w:rFonts w:ascii="Open Sans" w:cs="Open Sans" w:eastAsia="Open Sans" w:hAnsi="Open Sans"/>
          <w:rtl w:val="0"/>
        </w:rPr>
        <w:t xml:space="preserve">A short onboarding session for new staff, plus periodic refreshers, so everyone knows the basics: what personal data is, how to spot a risk, and who to tell if something goes wrong.</w:t>
      </w:r>
    </w:p>
    <w:p w:rsidR="00000000" w:rsidDel="00000000" w:rsidP="00000000" w:rsidRDefault="00000000" w:rsidRPr="00000000" w14:paraId="00000095">
      <w:pPr>
        <w:numPr>
          <w:ilvl w:val="0"/>
          <w:numId w:val="2"/>
        </w:numPr>
        <w:ind w:left="720" w:hanging="360"/>
        <w:rPr>
          <w:rFonts w:ascii="Open Sans" w:cs="Open Sans" w:eastAsia="Open Sans" w:hAnsi="Open Sans"/>
          <w:b w:val="1"/>
          <w:bCs w:val="1"/>
          <w:sz w:val="24"/>
          <w:szCs w:val="24"/>
          <w:u w:val="none"/>
        </w:rPr>
      </w:pPr>
      <w:r w:rsidDel="00000000" w:rsidR="00000000" w:rsidRPr="00000000">
        <w:rPr>
          <w:rFonts w:ascii="Open Sans" w:cs="Open Sans" w:eastAsia="Open Sans" w:hAnsi="Open Sans"/>
          <w:b w:val="1"/>
          <w:bCs w:val="1"/>
          <w:sz w:val="24"/>
          <w:szCs w:val="24"/>
          <w:rtl w:val="0"/>
        </w:rPr>
        <w:t xml:space="preserve">Registration with the ODPC</w:t>
      </w:r>
      <w:r w:rsidDel="00000000" w:rsidR="00000000" w:rsidRPr="00000000">
        <w:rPr>
          <w:rtl w:val="0"/>
        </w:rPr>
      </w:r>
    </w:p>
    <w:p w:rsidR="00000000" w:rsidDel="00000000" w:rsidP="00000000" w:rsidRDefault="00000000" w:rsidRPr="00000000" w14:paraId="00000096">
      <w:pPr>
        <w:widowControl w:val="0"/>
        <w:spacing w:before="53" w:line="285" w:lineRule="auto"/>
        <w:ind w:left="268" w:right="-40.8661417322827" w:firstLine="0"/>
        <w:jc w:val="both"/>
        <w:rPr>
          <w:rFonts w:ascii="Open Sans" w:cs="Open Sans" w:eastAsia="Open Sans" w:hAnsi="Open Sans"/>
          <w:i w:val="1"/>
          <w:iCs w:val="1"/>
          <w:sz w:val="18"/>
          <w:szCs w:val="18"/>
        </w:rPr>
        <w:sectPr>
          <w:type w:val="nextPage"/>
          <w:pgSz w:h="16838" w:w="11906" w:orient="portrait"/>
          <w:pgMar w:bottom="1440.0000000000002" w:top="1133.8582677165355" w:left="1440.0000000000002" w:right="1440.0000000000002" w:header="722" w:footer="0"/>
        </w:sectPr>
      </w:pPr>
      <w:r w:rsidDel="00000000" w:rsidR="00000000" w:rsidRPr="00000000">
        <w:rPr>
          <w:rFonts w:ascii="Open Sans" w:cs="Open Sans" w:eastAsia="Open Sans" w:hAnsi="Open Sans"/>
          <w:rtl w:val="0"/>
        </w:rPr>
        <w:t xml:space="preserve">Confirm whether your organisation is required to register as a data controller or data processor with the ODPC, and keep that registration current. The ODPC’s Guidance Note on Registration of Data Controllers and Data Processors explains the thresholds and process.</w:t>
      </w:r>
      <w:r w:rsidDel="00000000" w:rsidR="00000000" w:rsidRPr="00000000">
        <w:rPr>
          <w:rtl w:val="0"/>
        </w:rPr>
      </w:r>
    </w:p>
    <w:p w:rsidR="00000000" w:rsidDel="00000000" w:rsidP="00000000" w:rsidRDefault="00000000" w:rsidRPr="00000000" w14:paraId="00000097">
      <w:pPr>
        <w:widowControl w:val="0"/>
        <w:spacing w:before="264" w:line="288" w:lineRule="auto"/>
        <w:ind w:right="-40.8661417322827"/>
        <w:rPr>
          <w:rFonts w:ascii="Open Sans" w:cs="Open Sans" w:eastAsia="Open Sans" w:hAnsi="Open Sans"/>
          <w:sz w:val="24"/>
          <w:szCs w:val="24"/>
        </w:rPr>
      </w:pPr>
      <w:r w:rsidDel="00000000" w:rsidR="00000000" w:rsidRPr="00000000">
        <w:rPr>
          <w:rFonts w:ascii="Open Sans" w:cs="Open Sans" w:eastAsia="Open Sans" w:hAnsi="Open Sans"/>
          <w:b w:val="1"/>
          <w:bCs w:val="1"/>
          <w:color w:val="00abd6"/>
          <w:sz w:val="32"/>
          <w:szCs w:val="32"/>
          <w:rtl w:val="0"/>
        </w:rPr>
        <w:t xml:space="preserve">Section 6: Adoption, Review, and Version Control</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8100</wp:posOffset>
                </wp:positionH>
                <wp:positionV relativeFrom="paragraph">
                  <wp:posOffset>457200</wp:posOffset>
                </wp:positionV>
                <wp:extent cx="5715000" cy="15875"/>
                <wp:effectExtent b="0" l="0" r="0" t="0"/>
                <wp:wrapTopAndBottom distB="0" distT="0"/>
                <wp:docPr id="4" name=""/>
                <a:graphic>
                  <a:graphicData uri="http://schemas.microsoft.com/office/word/2010/wordprocessingShape">
                    <wps:wsp>
                      <wps:cNvSpPr/>
                      <wps:cNvPr id="2" name="Shape 2"/>
                      <wps:spPr>
                        <a:xfrm>
                          <a:off x="1924621" y="3779365"/>
                          <a:ext cx="6842759" cy="1270"/>
                        </a:xfrm>
                        <a:custGeom>
                          <a:rect b="b" l="l" r="r" t="t"/>
                          <a:pathLst>
                            <a:path extrusionOk="0" h="120000" w="6842759">
                              <a:moveTo>
                                <a:pt x="0" y="0"/>
                              </a:moveTo>
                              <a:lnTo>
                                <a:pt x="6842686" y="0"/>
                              </a:lnTo>
                            </a:path>
                          </a:pathLst>
                        </a:custGeom>
                        <a:noFill/>
                        <a:ln cap="flat" cmpd="sng" w="9525">
                          <a:solidFill>
                            <a:srgbClr val="00ABD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8100</wp:posOffset>
                </wp:positionH>
                <wp:positionV relativeFrom="paragraph">
                  <wp:posOffset>457200</wp:posOffset>
                </wp:positionV>
                <wp:extent cx="5715000" cy="15875"/>
                <wp:effectExtent b="0" l="0" r="0" t="0"/>
                <wp:wrapTopAndBottom distB="0" distT="0"/>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715000" cy="15875"/>
                        </a:xfrm>
                        <a:prstGeom prst="rect"/>
                        <a:ln/>
                      </pic:spPr>
                    </pic:pic>
                  </a:graphicData>
                </a:graphic>
              </wp:anchor>
            </w:drawing>
          </mc:Fallback>
        </mc:AlternateContent>
      </w:r>
    </w:p>
    <w:p w:rsidR="00000000" w:rsidDel="00000000" w:rsidP="00000000" w:rsidRDefault="00000000" w:rsidRPr="00000000" w14:paraId="00000098">
      <w:pPr>
        <w:widowControl w:val="0"/>
        <w:spacing w:before="200" w:line="288" w:lineRule="auto"/>
        <w:ind w:left="0" w:right="-40.8661417322827" w:firstLine="0"/>
        <w:jc w:val="both"/>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This Charter is a living document. It should be reviewed at least once a year, and sooner if any of the following happen: your organisation starts collecting a significant new type of data, a new law or ODPC guidance note is issued, or a data breach or near-miss reveals a gap in this Charter or the tools beneath it.</w:t>
      </w:r>
    </w:p>
    <w:p w:rsidR="00000000" w:rsidDel="00000000" w:rsidP="00000000" w:rsidRDefault="00000000" w:rsidRPr="00000000" w14:paraId="00000099">
      <w:pPr>
        <w:widowControl w:val="0"/>
        <w:spacing w:before="9" w:line="240" w:lineRule="auto"/>
        <w:ind w:left="0" w:right="-40.8661417322827" w:firstLine="0"/>
        <w:rPr>
          <w:rFonts w:ascii="Open Sans" w:cs="Open Sans" w:eastAsia="Open Sans" w:hAnsi="Open Sans"/>
          <w:sz w:val="15"/>
          <w:szCs w:val="15"/>
        </w:rPr>
      </w:pPr>
      <w:r w:rsidDel="00000000" w:rsidR="00000000" w:rsidRPr="00000000">
        <w:rPr>
          <w:rtl w:val="0"/>
        </w:rPr>
      </w:r>
    </w:p>
    <w:tbl>
      <w:tblPr>
        <w:tblStyle w:val="Table5"/>
        <w:tblW w:w="8955.0" w:type="dxa"/>
        <w:jc w:val="left"/>
        <w:tblInd w:w="59.0" w:type="dxa"/>
        <w:tblBorders>
          <w:top w:color="9de3f5" w:space="0" w:sz="12" w:val="single"/>
          <w:left w:color="9de3f5" w:space="0" w:sz="12" w:val="single"/>
          <w:bottom w:color="9de3f5" w:space="0" w:sz="12" w:val="single"/>
          <w:right w:color="9de3f5" w:space="0" w:sz="12" w:val="single"/>
          <w:insideH w:color="9de3f5" w:space="0" w:sz="12" w:val="single"/>
          <w:insideV w:color="9de3f5" w:space="0" w:sz="12" w:val="single"/>
        </w:tblBorders>
        <w:tblLayout w:type="fixed"/>
        <w:tblLook w:val="0000"/>
      </w:tblPr>
      <w:tblGrid>
        <w:gridCol w:w="2280"/>
        <w:gridCol w:w="1920"/>
        <w:gridCol w:w="2340"/>
        <w:gridCol w:w="2415"/>
        <w:tblGridChange w:id="0">
          <w:tblGrid>
            <w:gridCol w:w="2280"/>
            <w:gridCol w:w="1920"/>
            <w:gridCol w:w="2340"/>
            <w:gridCol w:w="2415"/>
          </w:tblGrid>
        </w:tblGridChange>
      </w:tblGrid>
      <w:tr>
        <w:trPr>
          <w:cantSplit w:val="0"/>
          <w:trHeight w:val="285" w:hRule="atLeast"/>
          <w:tblHeader w:val="0"/>
        </w:trPr>
        <w:tc>
          <w:tcPr>
            <w:tcBorders>
              <w:top w:color="000000" w:space="0" w:sz="0" w:val="nil"/>
              <w:bottom w:color="000000" w:space="0" w:sz="0" w:val="nil"/>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9A">
            <w:pPr>
              <w:widowControl w:val="0"/>
              <w:spacing w:before="168"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Version</w:t>
            </w:r>
          </w:p>
        </w:tc>
        <w:tc>
          <w:tcPr>
            <w:tcBorders>
              <w:top w:color="000000" w:space="0" w:sz="0" w:val="nil"/>
              <w:bottom w:color="000000" w:space="0" w:sz="0" w:val="nil"/>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9B">
            <w:pPr>
              <w:widowControl w:val="0"/>
              <w:spacing w:before="168"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Date</w:t>
            </w:r>
          </w:p>
        </w:tc>
        <w:tc>
          <w:tcPr>
            <w:tcBorders>
              <w:top w:color="000000" w:space="0" w:sz="0" w:val="nil"/>
              <w:bottom w:color="000000" w:space="0" w:sz="0" w:val="nil"/>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9C">
            <w:pPr>
              <w:widowControl w:val="0"/>
              <w:spacing w:before="168"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Approved by</w:t>
            </w:r>
          </w:p>
        </w:tc>
        <w:tc>
          <w:tcPr>
            <w:tcBorders>
              <w:top w:color="000000" w:space="0" w:sz="0" w:val="nil"/>
              <w:bottom w:color="000000" w:space="0" w:sz="0" w:val="nil"/>
            </w:tcBorders>
            <w:shd w:fill="9de3f5" w:val="clear"/>
            <w:tcMar>
              <w:top w:w="56.69291338582678" w:type="dxa"/>
              <w:left w:w="56.69291338582678" w:type="dxa"/>
              <w:bottom w:w="56.69291338582678" w:type="dxa"/>
              <w:right w:w="56.69291338582678" w:type="dxa"/>
            </w:tcMar>
          </w:tcPr>
          <w:p w:rsidR="00000000" w:rsidDel="00000000" w:rsidP="00000000" w:rsidRDefault="00000000" w:rsidRPr="00000000" w14:paraId="0000009D">
            <w:pPr>
              <w:widowControl w:val="0"/>
              <w:spacing w:before="168"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Summary of changes</w:t>
            </w:r>
          </w:p>
        </w:tc>
      </w:tr>
      <w:tr>
        <w:trPr>
          <w:cantSplit w:val="0"/>
          <w:trHeight w:val="540" w:hRule="atLeast"/>
          <w:tblHeader w:val="0"/>
        </w:trPr>
        <w:tc>
          <w:tcPr>
            <w:tcBorders>
              <w:top w:color="000000" w:space="0" w:sz="0" w:val="nil"/>
            </w:tcBorders>
          </w:tcPr>
          <w:p w:rsidR="00000000" w:rsidDel="00000000" w:rsidP="00000000" w:rsidRDefault="00000000" w:rsidRPr="00000000" w14:paraId="0000009E">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tcBorders>
              <w:top w:color="000000" w:space="0" w:sz="0" w:val="nil"/>
            </w:tcBorders>
          </w:tcPr>
          <w:p w:rsidR="00000000" w:rsidDel="00000000" w:rsidP="00000000" w:rsidRDefault="00000000" w:rsidRPr="00000000" w14:paraId="0000009F">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tcBorders>
              <w:top w:color="000000" w:space="0" w:sz="0" w:val="nil"/>
            </w:tcBorders>
          </w:tcPr>
          <w:p w:rsidR="00000000" w:rsidDel="00000000" w:rsidP="00000000" w:rsidRDefault="00000000" w:rsidRPr="00000000" w14:paraId="000000A0">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tcBorders>
              <w:top w:color="000000" w:space="0" w:sz="0" w:val="nil"/>
            </w:tcBorders>
          </w:tcPr>
          <w:p w:rsidR="00000000" w:rsidDel="00000000" w:rsidP="00000000" w:rsidRDefault="00000000" w:rsidRPr="00000000" w14:paraId="000000A1">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A2">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3">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4">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5">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A6">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7">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8">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9">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AA">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B">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C">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D">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AE">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AF">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B0">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c>
          <w:tcPr/>
          <w:p w:rsidR="00000000" w:rsidDel="00000000" w:rsidP="00000000" w:rsidRDefault="00000000" w:rsidRPr="00000000" w14:paraId="000000B1">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bl>
    <w:p w:rsidR="00000000" w:rsidDel="00000000" w:rsidP="00000000" w:rsidRDefault="00000000" w:rsidRPr="00000000" w14:paraId="000000B2">
      <w:pPr>
        <w:widowControl w:val="0"/>
        <w:spacing w:line="240" w:lineRule="auto"/>
        <w:ind w:left="0" w:right="-40.8661417322827" w:firstLine="0"/>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B3">
      <w:pPr>
        <w:widowControl w:val="0"/>
        <w:spacing w:before="135" w:line="240" w:lineRule="auto"/>
        <w:ind w:left="0" w:right="-40.8661417322827" w:firstLine="0"/>
        <w:rPr>
          <w:rFonts w:ascii="Open Sans" w:cs="Open Sans" w:eastAsia="Open Sans" w:hAnsi="Open Sans"/>
          <w:sz w:val="20"/>
          <w:szCs w:val="20"/>
        </w:rPr>
      </w:pPr>
      <w:r w:rsidDel="00000000" w:rsidR="00000000" w:rsidRPr="00000000">
        <w:rPr>
          <w:rtl w:val="0"/>
        </w:rPr>
      </w:r>
    </w:p>
    <w:tbl>
      <w:tblPr>
        <w:tblStyle w:val="Table6"/>
        <w:tblW w:w="8970.0" w:type="dxa"/>
        <w:jc w:val="left"/>
        <w:tblInd w:w="50.0" w:type="dxa"/>
        <w:tblBorders>
          <w:top w:color="9de3f5" w:space="0" w:sz="12" w:val="single"/>
          <w:left w:color="9de3f5" w:space="0" w:sz="12" w:val="single"/>
          <w:bottom w:color="9de3f5" w:space="0" w:sz="12" w:val="single"/>
          <w:right w:color="9de3f5" w:space="0" w:sz="12" w:val="single"/>
          <w:insideH w:color="9de3f5" w:space="0" w:sz="12" w:val="single"/>
          <w:insideV w:color="9de3f5" w:space="0" w:sz="12" w:val="single"/>
        </w:tblBorders>
        <w:tblLayout w:type="fixed"/>
        <w:tblLook w:val="0000"/>
      </w:tblPr>
      <w:tblGrid>
        <w:gridCol w:w="3555"/>
        <w:gridCol w:w="5415"/>
        <w:tblGridChange w:id="0">
          <w:tblGrid>
            <w:gridCol w:w="3555"/>
            <w:gridCol w:w="5415"/>
          </w:tblGrid>
        </w:tblGridChange>
      </w:tblGrid>
      <w:tr>
        <w:trPr>
          <w:cantSplit w:val="0"/>
          <w:trHeight w:val="540" w:hRule="atLeast"/>
          <w:tblHeader w:val="0"/>
        </w:trPr>
        <w:tc>
          <w:tcPr>
            <w:tcBorders>
              <w:left w:color="000000" w:space="0" w:sz="0" w:val="nil"/>
              <w:bottom w:color="ffffff" w:space="0" w:sz="12" w:val="single"/>
              <w:right w:color="000000" w:space="0" w:sz="0" w:val="nil"/>
            </w:tcBorders>
            <w:shd w:fill="9de3f5" w:val="clear"/>
          </w:tcPr>
          <w:p w:rsidR="00000000" w:rsidDel="00000000" w:rsidP="00000000" w:rsidRDefault="00000000" w:rsidRPr="00000000" w14:paraId="000000B4">
            <w:pPr>
              <w:widowControl w:val="0"/>
              <w:spacing w:before="138"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Approved by (name and title)</w:t>
            </w:r>
          </w:p>
        </w:tc>
        <w:tc>
          <w:tcPr>
            <w:tcBorders>
              <w:left w:color="000000" w:space="0" w:sz="0" w:val="nil"/>
            </w:tcBorders>
          </w:tcPr>
          <w:p w:rsidR="00000000" w:rsidDel="00000000" w:rsidP="00000000" w:rsidRDefault="00000000" w:rsidRPr="00000000" w14:paraId="000000B5">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r>
        <w:trPr>
          <w:cantSplit w:val="0"/>
          <w:trHeight w:val="540" w:hRule="atLeast"/>
          <w:tblHeader w:val="0"/>
        </w:trPr>
        <w:tc>
          <w:tcPr>
            <w:tcBorders>
              <w:top w:color="ffffff" w:space="0" w:sz="12" w:val="single"/>
              <w:left w:color="000000" w:space="0" w:sz="0" w:val="nil"/>
              <w:bottom w:color="ffffff" w:space="0" w:sz="12" w:val="single"/>
              <w:right w:color="000000" w:space="0" w:sz="0" w:val="nil"/>
            </w:tcBorders>
            <w:shd w:fill="9de3f5" w:val="clear"/>
          </w:tcPr>
          <w:p w:rsidR="00000000" w:rsidDel="00000000" w:rsidP="00000000" w:rsidRDefault="00000000" w:rsidRPr="00000000" w14:paraId="000000B6">
            <w:pPr>
              <w:widowControl w:val="0"/>
              <w:spacing w:before="138"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w:t>
            </w:r>
          </w:p>
        </w:tc>
        <w:tc>
          <w:tcPr>
            <w:tcBorders>
              <w:left w:color="000000" w:space="0" w:sz="0" w:val="nil"/>
            </w:tcBorders>
          </w:tcPr>
          <w:p w:rsidR="00000000" w:rsidDel="00000000" w:rsidP="00000000" w:rsidRDefault="00000000" w:rsidRPr="00000000" w14:paraId="000000B7">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r>
        <w:trPr>
          <w:cantSplit w:val="0"/>
          <w:trHeight w:val="540" w:hRule="atLeast"/>
          <w:tblHeader w:val="0"/>
        </w:trPr>
        <w:tc>
          <w:tcPr>
            <w:tcBorders>
              <w:top w:color="ffffff" w:space="0" w:sz="12" w:val="single"/>
              <w:left w:color="000000" w:space="0" w:sz="0" w:val="nil"/>
              <w:bottom w:color="ffffff" w:space="0" w:sz="12" w:val="single"/>
              <w:right w:color="000000" w:space="0" w:sz="0" w:val="nil"/>
            </w:tcBorders>
            <w:shd w:fill="9de3f5" w:val="clear"/>
          </w:tcPr>
          <w:p w:rsidR="00000000" w:rsidDel="00000000" w:rsidP="00000000" w:rsidRDefault="00000000" w:rsidRPr="00000000" w14:paraId="000000B8">
            <w:pPr>
              <w:widowControl w:val="0"/>
              <w:spacing w:before="138"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Date</w:t>
            </w:r>
          </w:p>
        </w:tc>
        <w:tc>
          <w:tcPr>
            <w:tcBorders>
              <w:left w:color="000000" w:space="0" w:sz="0" w:val="nil"/>
            </w:tcBorders>
          </w:tcPr>
          <w:p w:rsidR="00000000" w:rsidDel="00000000" w:rsidP="00000000" w:rsidRDefault="00000000" w:rsidRPr="00000000" w14:paraId="000000B9">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r>
        <w:trPr>
          <w:cantSplit w:val="0"/>
          <w:trHeight w:val="540" w:hRule="atLeast"/>
          <w:tblHeader w:val="0"/>
        </w:trPr>
        <w:tc>
          <w:tcPr>
            <w:tcBorders>
              <w:top w:color="ffffff" w:space="0" w:sz="12" w:val="single"/>
              <w:left w:color="000000" w:space="0" w:sz="0" w:val="nil"/>
              <w:right w:color="000000" w:space="0" w:sz="0" w:val="nil"/>
            </w:tcBorders>
            <w:shd w:fill="9de3f5" w:val="clear"/>
          </w:tcPr>
          <w:p w:rsidR="00000000" w:rsidDel="00000000" w:rsidP="00000000" w:rsidRDefault="00000000" w:rsidRPr="00000000" w14:paraId="000000BA">
            <w:pPr>
              <w:widowControl w:val="0"/>
              <w:spacing w:before="138" w:line="240" w:lineRule="auto"/>
              <w:ind w:left="0" w:right="-40.8661417322827"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Next scheduled review date</w:t>
            </w:r>
          </w:p>
        </w:tc>
        <w:tc>
          <w:tcPr>
            <w:tcBorders>
              <w:left w:color="000000" w:space="0" w:sz="0" w:val="nil"/>
            </w:tcBorders>
          </w:tcPr>
          <w:p w:rsidR="00000000" w:rsidDel="00000000" w:rsidP="00000000" w:rsidRDefault="00000000" w:rsidRPr="00000000" w14:paraId="000000BB">
            <w:pPr>
              <w:widowControl w:val="0"/>
              <w:spacing w:line="240" w:lineRule="auto"/>
              <w:ind w:left="0" w:right="-40.8661417322827" w:firstLine="0"/>
              <w:rPr>
                <w:rFonts w:ascii="Open Sans" w:cs="Open Sans" w:eastAsia="Open Sans" w:hAnsi="Open Sans"/>
                <w:sz w:val="24"/>
                <w:szCs w:val="24"/>
              </w:rPr>
            </w:pPr>
            <w:r w:rsidDel="00000000" w:rsidR="00000000" w:rsidRPr="00000000">
              <w:rPr>
                <w:rtl w:val="0"/>
              </w:rPr>
            </w:r>
          </w:p>
        </w:tc>
      </w:tr>
    </w:tbl>
    <w:p w:rsidR="00000000" w:rsidDel="00000000" w:rsidP="00000000" w:rsidRDefault="00000000" w:rsidRPr="00000000" w14:paraId="000000BC">
      <w:pPr>
        <w:widowControl w:val="0"/>
        <w:spacing w:before="138" w:line="240" w:lineRule="auto"/>
        <w:ind w:left="0" w:right="-40.8661417322827" w:firstLine="0"/>
        <w:rPr>
          <w:rFonts w:ascii="Open Sans" w:cs="Open Sans" w:eastAsia="Open Sans" w:hAnsi="Open Sans"/>
          <w:sz w:val="24"/>
          <w:szCs w:val="24"/>
        </w:rPr>
        <w:sectPr>
          <w:type w:val="nextPage"/>
          <w:pgSz w:h="16838" w:w="11906" w:orient="portrait"/>
          <w:pgMar w:bottom="1440.0000000000002" w:top="1133.8582677165355" w:left="1440.0000000000002" w:right="1440.0000000000002" w:header="722" w:footer="0"/>
        </w:sectPr>
      </w:pPr>
      <w:r w:rsidDel="00000000" w:rsidR="00000000" w:rsidRPr="00000000">
        <w:rPr>
          <w:rtl w:val="0"/>
        </w:rPr>
      </w:r>
    </w:p>
    <w:p w:rsidR="00000000" w:rsidDel="00000000" w:rsidP="00000000" w:rsidRDefault="00000000" w:rsidRPr="00000000" w14:paraId="000000BD">
      <w:pPr>
        <w:widowControl w:val="0"/>
        <w:spacing w:before="264" w:line="288" w:lineRule="auto"/>
        <w:ind w:left="0" w:right="-40.8661417322827" w:firstLine="0"/>
        <w:rPr>
          <w:rFonts w:ascii="Open Sans" w:cs="Open Sans" w:eastAsia="Open Sans" w:hAnsi="Open Sans"/>
          <w:b w:val="1"/>
          <w:bCs w:val="1"/>
          <w:color w:val="00abd6"/>
          <w:sz w:val="32"/>
          <w:szCs w:val="32"/>
        </w:rPr>
      </w:pPr>
      <w:r w:rsidDel="00000000" w:rsidR="00000000" w:rsidRPr="00000000">
        <w:rPr>
          <w:rFonts w:ascii="Open Sans" w:cs="Open Sans" w:eastAsia="Open Sans" w:hAnsi="Open Sans"/>
          <w:b w:val="1"/>
          <w:bCs w:val="1"/>
          <w:color w:val="00abd6"/>
          <w:sz w:val="32"/>
          <w:szCs w:val="32"/>
          <w:rtl w:val="0"/>
        </w:rPr>
        <w:t xml:space="preserve">Appendix: First 90 Days Checklist</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9525</wp:posOffset>
                </wp:positionH>
                <wp:positionV relativeFrom="paragraph">
                  <wp:posOffset>457200</wp:posOffset>
                </wp:positionV>
                <wp:extent cx="5715000" cy="15875"/>
                <wp:effectExtent b="0" l="0" r="0" t="0"/>
                <wp:wrapTopAndBottom distB="0" distT="0"/>
                <wp:docPr id="8" name=""/>
                <a:graphic>
                  <a:graphicData uri="http://schemas.microsoft.com/office/word/2010/wordprocessingShape">
                    <wps:wsp>
                      <wps:cNvSpPr/>
                      <wps:cNvPr id="2" name="Shape 2"/>
                      <wps:spPr>
                        <a:xfrm>
                          <a:off x="1924621" y="3779365"/>
                          <a:ext cx="6842759" cy="1270"/>
                        </a:xfrm>
                        <a:custGeom>
                          <a:rect b="b" l="l" r="r" t="t"/>
                          <a:pathLst>
                            <a:path extrusionOk="0" h="120000" w="6842759">
                              <a:moveTo>
                                <a:pt x="0" y="0"/>
                              </a:moveTo>
                              <a:lnTo>
                                <a:pt x="6842686" y="0"/>
                              </a:lnTo>
                            </a:path>
                          </a:pathLst>
                        </a:custGeom>
                        <a:noFill/>
                        <a:ln cap="flat" cmpd="sng" w="9525">
                          <a:solidFill>
                            <a:srgbClr val="00ABD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9525</wp:posOffset>
                </wp:positionH>
                <wp:positionV relativeFrom="paragraph">
                  <wp:posOffset>457200</wp:posOffset>
                </wp:positionV>
                <wp:extent cx="5715000" cy="15875"/>
                <wp:effectExtent b="0" l="0" r="0" t="0"/>
                <wp:wrapTopAndBottom distB="0" distT="0"/>
                <wp:docPr id="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5715000" cy="15875"/>
                        </a:xfrm>
                        <a:prstGeom prst="rect"/>
                        <a:ln/>
                      </pic:spPr>
                    </pic:pic>
                  </a:graphicData>
                </a:graphic>
              </wp:anchor>
            </w:drawing>
          </mc:Fallback>
        </mc:AlternateContent>
      </w:r>
    </w:p>
    <w:p w:rsidR="00000000" w:rsidDel="00000000" w:rsidP="00000000" w:rsidRDefault="00000000" w:rsidRPr="00000000" w14:paraId="000000BE">
      <w:pPr>
        <w:widowControl w:val="0"/>
        <w:spacing w:before="200" w:line="288" w:lineRule="auto"/>
        <w:ind w:left="0" w:right="-40.8661417322827" w:firstLine="0"/>
        <w:jc w:val="both"/>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If you are starting from nothing, work through this list roughly in order over your first three months.</w:t>
      </w:r>
    </w:p>
    <w:p w:rsidR="00000000" w:rsidDel="00000000" w:rsidP="00000000" w:rsidRDefault="00000000" w:rsidRPr="00000000" w14:paraId="000000BF">
      <w:pPr>
        <w:widowControl w:val="0"/>
        <w:numPr>
          <w:ilvl w:val="0"/>
          <w:numId w:val="3"/>
        </w:numPr>
        <w:spacing w:after="0" w:afterAutospacing="0" w:before="205" w:line="240"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Assign a Data Protection Lead, even if they hold the role part-time alongside other duties.</w:t>
      </w:r>
    </w:p>
    <w:p w:rsidR="00000000" w:rsidDel="00000000" w:rsidP="00000000" w:rsidRDefault="00000000" w:rsidRPr="00000000" w14:paraId="000000C0">
      <w:pPr>
        <w:widowControl w:val="0"/>
        <w:numPr>
          <w:ilvl w:val="0"/>
          <w:numId w:val="3"/>
        </w:numPr>
        <w:spacing w:after="0" w:afterAutospacing="0" w:before="0" w:beforeAutospacing="0" w:line="240"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Build your first data inventory: list every type of personal data you hold.</w:t>
      </w:r>
    </w:p>
    <w:p w:rsidR="00000000" w:rsidDel="00000000" w:rsidP="00000000" w:rsidRDefault="00000000" w:rsidRPr="00000000" w14:paraId="000000C1">
      <w:pPr>
        <w:widowControl w:val="0"/>
        <w:numPr>
          <w:ilvl w:val="0"/>
          <w:numId w:val="3"/>
        </w:numPr>
        <w:spacing w:after="0" w:afterAutospacing="0" w:before="0" w:beforeAutospacing="0" w:line="240"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Write a plain-language privacy notice for your website, app, or intake forms.</w:t>
      </w:r>
    </w:p>
    <w:p w:rsidR="00000000" w:rsidDel="00000000" w:rsidP="00000000" w:rsidRDefault="00000000" w:rsidRPr="00000000" w14:paraId="000000C2">
      <w:pPr>
        <w:widowControl w:val="0"/>
        <w:numPr>
          <w:ilvl w:val="0"/>
          <w:numId w:val="3"/>
        </w:numPr>
        <w:spacing w:after="0" w:afterAutospacing="0" w:before="0" w:beforeAutospacing="0" w:line="240"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Set retention periods for your main data types and document them.</w:t>
      </w:r>
    </w:p>
    <w:p w:rsidR="00000000" w:rsidDel="00000000" w:rsidP="00000000" w:rsidRDefault="00000000" w:rsidRPr="00000000" w14:paraId="000000C3">
      <w:pPr>
        <w:widowControl w:val="0"/>
        <w:numPr>
          <w:ilvl w:val="0"/>
          <w:numId w:val="3"/>
        </w:numPr>
        <w:spacing w:after="0" w:afterAutospacing="0" w:before="0" w:beforeAutospacing="0" w:line="240"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Check whether you need to register with the ODPC, and do so if required.</w:t>
      </w:r>
    </w:p>
    <w:p w:rsidR="00000000" w:rsidDel="00000000" w:rsidP="00000000" w:rsidRDefault="00000000" w:rsidRPr="00000000" w14:paraId="000000C4">
      <w:pPr>
        <w:widowControl w:val="0"/>
        <w:numPr>
          <w:ilvl w:val="0"/>
          <w:numId w:val="3"/>
        </w:numPr>
        <w:spacing w:before="0" w:beforeAutospacing="0" w:line="288"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List your key vendors/processors and confirm each has adequate safeguards; sign data-processing agreements where missing.</w:t>
      </w:r>
    </w:p>
    <w:p w:rsidR="00000000" w:rsidDel="00000000" w:rsidP="00000000" w:rsidRDefault="00000000" w:rsidRPr="00000000" w14:paraId="000000C5">
      <w:pPr>
        <w:widowControl w:val="0"/>
        <w:numPr>
          <w:ilvl w:val="0"/>
          <w:numId w:val="3"/>
        </w:numPr>
        <w:spacing w:after="0" w:afterAutospacing="0" w:line="272"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Draft a one-page breach response plan: who to call, in what order, within what timeframe.</w:t>
      </w:r>
    </w:p>
    <w:p w:rsidR="00000000" w:rsidDel="00000000" w:rsidP="00000000" w:rsidRDefault="00000000" w:rsidRPr="00000000" w14:paraId="000000C6">
      <w:pPr>
        <w:widowControl w:val="0"/>
        <w:numPr>
          <w:ilvl w:val="0"/>
          <w:numId w:val="3"/>
        </w:numPr>
        <w:spacing w:after="0" w:afterAutospacing="0" w:before="0" w:beforeAutospacing="0" w:line="240"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Run a short training session for all current staff and volunteers.</w:t>
      </w:r>
    </w:p>
    <w:p w:rsidR="00000000" w:rsidDel="00000000" w:rsidP="00000000" w:rsidRDefault="00000000" w:rsidRPr="00000000" w14:paraId="000000C7">
      <w:pPr>
        <w:widowControl w:val="0"/>
        <w:numPr>
          <w:ilvl w:val="0"/>
          <w:numId w:val="3"/>
        </w:numPr>
        <w:spacing w:before="0" w:beforeAutospacing="0" w:line="288" w:lineRule="auto"/>
        <w:ind w:left="720" w:right="-40.8661417322827" w:hanging="360"/>
        <w:rPr>
          <w:rFonts w:ascii="Open Sans" w:cs="Open Sans" w:eastAsia="Open Sans" w:hAnsi="Open Sans"/>
          <w:u w:val="none"/>
        </w:rPr>
      </w:pPr>
      <w:r w:rsidDel="00000000" w:rsidR="00000000" w:rsidRPr="00000000">
        <w:rPr>
          <w:rFonts w:ascii="Open Sans" w:cs="Open Sans" w:eastAsia="Open Sans" w:hAnsi="Open Sans"/>
          <w:sz w:val="24"/>
          <w:szCs w:val="24"/>
          <w:rtl w:val="0"/>
        </w:rPr>
        <w:t xml:space="preserve">Identify any high-risk or new project (e.g. involving children’s data, biometrics, or health data) and complete a DPIA before it launches.</w:t>
      </w:r>
    </w:p>
    <w:p w:rsidR="00000000" w:rsidDel="00000000" w:rsidP="00000000" w:rsidRDefault="00000000" w:rsidRPr="00000000" w14:paraId="000000C8">
      <w:pPr>
        <w:widowControl w:val="0"/>
        <w:numPr>
          <w:ilvl w:val="0"/>
          <w:numId w:val="3"/>
        </w:numPr>
        <w:spacing w:line="274" w:lineRule="auto"/>
        <w:ind w:left="720" w:right="-40.8661417322827" w:hanging="360"/>
        <w:rPr>
          <w:rFonts w:ascii="Open Sans" w:cs="Open Sans" w:eastAsia="Open Sans" w:hAnsi="Open Sans"/>
          <w:u w:val="none"/>
        </w:rPr>
        <w:sectPr>
          <w:type w:val="nextPage"/>
          <w:pgSz w:h="16838" w:w="11906" w:orient="portrait"/>
          <w:pgMar w:bottom="1440.0000000000002" w:top="1133.8582677165355" w:left="1440.0000000000002" w:right="1440.0000000000002" w:header="722" w:footer="0"/>
        </w:sectPr>
      </w:pPr>
      <w:r w:rsidDel="00000000" w:rsidR="00000000" w:rsidRPr="00000000">
        <w:rPr>
          <w:rFonts w:ascii="Open Sans" w:cs="Open Sans" w:eastAsia="Open Sans" w:hAnsi="Open Sans"/>
          <w:sz w:val="24"/>
          <w:szCs w:val="24"/>
          <w:rtl w:val="0"/>
        </w:rPr>
        <w:t xml:space="preserve">Schedule your first annual review of this Charter.</w:t>
      </w:r>
    </w:p>
    <w:p w:rsidR="00000000" w:rsidDel="00000000" w:rsidP="00000000" w:rsidRDefault="00000000" w:rsidRPr="00000000" w14:paraId="000000C9">
      <w:pPr>
        <w:widowControl w:val="0"/>
        <w:spacing w:before="264" w:line="288" w:lineRule="auto"/>
        <w:ind w:right="-40.8661417322827"/>
        <w:rPr>
          <w:rFonts w:ascii="Open Sans" w:cs="Open Sans" w:eastAsia="Open Sans" w:hAnsi="Open Sans"/>
          <w:sz w:val="24"/>
          <w:szCs w:val="24"/>
        </w:rPr>
      </w:pPr>
      <w:r w:rsidDel="00000000" w:rsidR="00000000" w:rsidRPr="00000000">
        <w:rPr>
          <w:rFonts w:ascii="Open Sans" w:cs="Open Sans" w:eastAsia="Open Sans" w:hAnsi="Open Sans"/>
          <w:b w:val="1"/>
          <w:bCs w:val="1"/>
          <w:color w:val="00abd6"/>
          <w:sz w:val="32"/>
          <w:szCs w:val="32"/>
          <w:rtl w:val="0"/>
        </w:rPr>
        <w:t xml:space="preserve">References</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9525</wp:posOffset>
                </wp:positionH>
                <wp:positionV relativeFrom="paragraph">
                  <wp:posOffset>457200</wp:posOffset>
                </wp:positionV>
                <wp:extent cx="5715000" cy="15875"/>
                <wp:effectExtent b="0" l="0" r="0" t="0"/>
                <wp:wrapTopAndBottom distB="0" distT="0"/>
                <wp:docPr id="3" name=""/>
                <a:graphic>
                  <a:graphicData uri="http://schemas.microsoft.com/office/word/2010/wordprocessingShape">
                    <wps:wsp>
                      <wps:cNvSpPr/>
                      <wps:cNvPr id="2" name="Shape 2"/>
                      <wps:spPr>
                        <a:xfrm>
                          <a:off x="1924621" y="3779365"/>
                          <a:ext cx="6842759" cy="1270"/>
                        </a:xfrm>
                        <a:custGeom>
                          <a:rect b="b" l="l" r="r" t="t"/>
                          <a:pathLst>
                            <a:path extrusionOk="0" h="120000" w="6842759">
                              <a:moveTo>
                                <a:pt x="0" y="0"/>
                              </a:moveTo>
                              <a:lnTo>
                                <a:pt x="6842686" y="0"/>
                              </a:lnTo>
                            </a:path>
                          </a:pathLst>
                        </a:custGeom>
                        <a:noFill/>
                        <a:ln cap="flat" cmpd="sng" w="9525">
                          <a:solidFill>
                            <a:srgbClr val="00ABD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9525</wp:posOffset>
                </wp:positionH>
                <wp:positionV relativeFrom="paragraph">
                  <wp:posOffset>457200</wp:posOffset>
                </wp:positionV>
                <wp:extent cx="5715000" cy="15875"/>
                <wp:effectExtent b="0" l="0" r="0" t="0"/>
                <wp:wrapTopAndBottom distB="0" distT="0"/>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715000" cy="15875"/>
                        </a:xfrm>
                        <a:prstGeom prst="rect"/>
                        <a:ln/>
                      </pic:spPr>
                    </pic:pic>
                  </a:graphicData>
                </a:graphic>
              </wp:anchor>
            </w:drawing>
          </mc:Fallback>
        </mc:AlternateContent>
      </w:r>
    </w:p>
    <w:p w:rsidR="00000000" w:rsidDel="00000000" w:rsidP="00000000" w:rsidRDefault="00000000" w:rsidRPr="00000000" w14:paraId="000000CA">
      <w:pPr>
        <w:widowControl w:val="0"/>
        <w:spacing w:after="240" w:before="240" w:lineRule="auto"/>
        <w:ind w:left="283.46456692913375" w:hanging="283.46456692913375"/>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Data Protection Act, No. 24 of 2019 (Kenya).</w:t>
      </w:r>
    </w:p>
    <w:p w:rsidR="00000000" w:rsidDel="00000000" w:rsidP="00000000" w:rsidRDefault="00000000" w:rsidRPr="00000000" w14:paraId="000000CB">
      <w:pPr>
        <w:widowControl w:val="0"/>
        <w:spacing w:after="240" w:before="240" w:lineRule="auto"/>
        <w:ind w:left="283.46456692913375" w:hanging="283.46456692913375"/>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Data Protection (General) Regulations, 2021 (Kenya).</w:t>
      </w:r>
    </w:p>
    <w:p w:rsidR="00000000" w:rsidDel="00000000" w:rsidP="00000000" w:rsidRDefault="00000000" w:rsidRPr="00000000" w14:paraId="000000CC">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International Organization for Standardization. (2017). </w:t>
      </w:r>
      <w:r w:rsidDel="00000000" w:rsidR="00000000" w:rsidRPr="00000000">
        <w:rPr>
          <w:rFonts w:ascii="Open Sans" w:cs="Open Sans" w:eastAsia="Open Sans" w:hAnsi="Open Sans"/>
          <w:i w:val="1"/>
          <w:iCs w:val="1"/>
          <w:sz w:val="24"/>
          <w:szCs w:val="24"/>
          <w:rtl w:val="0"/>
        </w:rPr>
        <w:t xml:space="preserve">Information technology: Governance of IT: Governance of data: Part 1: Application of ISO/IEC 38500 to the governance of data</w:t>
      </w:r>
      <w:r w:rsidDel="00000000" w:rsidR="00000000" w:rsidRPr="00000000">
        <w:rPr>
          <w:rFonts w:ascii="Open Sans" w:cs="Open Sans" w:eastAsia="Open Sans" w:hAnsi="Open Sans"/>
          <w:sz w:val="24"/>
          <w:szCs w:val="24"/>
          <w:rtl w:val="0"/>
        </w:rPr>
        <w:t xml:space="preserve"> (ISO/IEC Standard No. 38505-1:2017). </w:t>
      </w:r>
      <w:hyperlink r:id="rId10">
        <w:r w:rsidDel="00000000" w:rsidR="00000000" w:rsidRPr="00000000">
          <w:rPr>
            <w:rFonts w:ascii="Open Sans" w:cs="Open Sans" w:eastAsia="Open Sans" w:hAnsi="Open Sans"/>
            <w:color w:val="1155cc"/>
            <w:sz w:val="24"/>
            <w:szCs w:val="24"/>
            <w:u w:val="single"/>
            <w:rtl w:val="0"/>
          </w:rPr>
          <w:t xml:space="preserve">https://www.iso.org/standard/56639.html</w:t>
        </w:r>
      </w:hyperlink>
      <w:r w:rsidDel="00000000" w:rsidR="00000000" w:rsidRPr="00000000">
        <w:rPr>
          <w:rtl w:val="0"/>
        </w:rPr>
      </w:r>
    </w:p>
    <w:p w:rsidR="00000000" w:rsidDel="00000000" w:rsidP="00000000" w:rsidRDefault="00000000" w:rsidRPr="00000000" w14:paraId="000000CD">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(n.d.). </w:t>
      </w:r>
      <w:r w:rsidDel="00000000" w:rsidR="00000000" w:rsidRPr="00000000">
        <w:rPr>
          <w:rFonts w:ascii="Open Sans" w:cs="Open Sans" w:eastAsia="Open Sans" w:hAnsi="Open Sans"/>
          <w:i w:val="1"/>
          <w:iCs w:val="1"/>
          <w:sz w:val="24"/>
          <w:szCs w:val="24"/>
          <w:rtl w:val="0"/>
        </w:rPr>
        <w:t xml:space="preserve">Guidelines</w:t>
      </w:r>
      <w:r w:rsidDel="00000000" w:rsidR="00000000" w:rsidRPr="00000000">
        <w:rPr>
          <w:rFonts w:ascii="Open Sans" w:cs="Open Sans" w:eastAsia="Open Sans" w:hAnsi="Open Sans"/>
          <w:sz w:val="24"/>
          <w:szCs w:val="24"/>
          <w:rtl w:val="0"/>
        </w:rPr>
        <w:t xml:space="preserve">. </w:t>
      </w:r>
      <w:hyperlink r:id="rId11">
        <w:r w:rsidDel="00000000" w:rsidR="00000000" w:rsidRPr="00000000">
          <w:rPr>
            <w:rFonts w:ascii="Open Sans" w:cs="Open Sans" w:eastAsia="Open Sans" w:hAnsi="Open Sans"/>
            <w:color w:val="1155cc"/>
            <w:sz w:val="24"/>
            <w:szCs w:val="24"/>
            <w:u w:val="single"/>
            <w:rtl w:val="0"/>
          </w:rPr>
          <w:t xml:space="preserve">https://www.odpc.go.ke/guidelines-2/</w:t>
        </w:r>
      </w:hyperlink>
      <w:r w:rsidDel="00000000" w:rsidR="00000000" w:rsidRPr="00000000">
        <w:rPr>
          <w:rtl w:val="0"/>
        </w:rPr>
      </w:r>
    </w:p>
    <w:p w:rsidR="00000000" w:rsidDel="00000000" w:rsidP="00000000" w:rsidRDefault="00000000" w:rsidRPr="00000000" w14:paraId="000000CE">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(2024a). </w:t>
      </w:r>
      <w:r w:rsidDel="00000000" w:rsidR="00000000" w:rsidRPr="00000000">
        <w:rPr>
          <w:rFonts w:ascii="Open Sans" w:cs="Open Sans" w:eastAsia="Open Sans" w:hAnsi="Open Sans"/>
          <w:i w:val="1"/>
          <w:iCs w:val="1"/>
          <w:sz w:val="24"/>
          <w:szCs w:val="24"/>
          <w:rtl w:val="0"/>
        </w:rPr>
        <w:t xml:space="preserve">Guidance note on data protection impact assessment</w:t>
      </w:r>
      <w:r w:rsidDel="00000000" w:rsidR="00000000" w:rsidRPr="00000000">
        <w:rPr>
          <w:rFonts w:ascii="Open Sans" w:cs="Open Sans" w:eastAsia="Open Sans" w:hAnsi="Open Sans"/>
          <w:sz w:val="24"/>
          <w:szCs w:val="24"/>
          <w:rtl w:val="0"/>
        </w:rPr>
        <w:t xml:space="preserve">. </w:t>
      </w:r>
      <w:hyperlink r:id="rId12">
        <w:r w:rsidDel="00000000" w:rsidR="00000000" w:rsidRPr="00000000">
          <w:rPr>
            <w:rFonts w:ascii="Open Sans" w:cs="Open Sans" w:eastAsia="Open Sans" w:hAnsi="Open Sans"/>
            <w:color w:val="1155cc"/>
            <w:sz w:val="24"/>
            <w:szCs w:val="24"/>
            <w:u w:val="single"/>
            <w:rtl w:val="0"/>
          </w:rPr>
          <w:t xml:space="preserve">https://www.odpc.go.ke/wp-content/uploads/2024/02/ODPC-Guidance-Note-on-Data-Protection-Impact-Assessment-1.pdf</w:t>
        </w:r>
      </w:hyperlink>
      <w:r w:rsidDel="00000000" w:rsidR="00000000" w:rsidRPr="00000000">
        <w:rPr>
          <w:rtl w:val="0"/>
        </w:rPr>
      </w:r>
    </w:p>
    <w:p w:rsidR="00000000" w:rsidDel="00000000" w:rsidP="00000000" w:rsidRDefault="00000000" w:rsidRPr="00000000" w14:paraId="000000CF">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(2024b). </w:t>
      </w:r>
      <w:r w:rsidDel="00000000" w:rsidR="00000000" w:rsidRPr="00000000">
        <w:rPr>
          <w:rFonts w:ascii="Open Sans" w:cs="Open Sans" w:eastAsia="Open Sans" w:hAnsi="Open Sans"/>
          <w:i w:val="1"/>
          <w:iCs w:val="1"/>
          <w:sz w:val="24"/>
          <w:szCs w:val="24"/>
          <w:rtl w:val="0"/>
        </w:rPr>
        <w:t xml:space="preserve">Guidance note on registration of data controllers and data processors</w:t>
      </w:r>
      <w:r w:rsidDel="00000000" w:rsidR="00000000" w:rsidRPr="00000000">
        <w:rPr>
          <w:rFonts w:ascii="Open Sans" w:cs="Open Sans" w:eastAsia="Open Sans" w:hAnsi="Open Sans"/>
          <w:sz w:val="24"/>
          <w:szCs w:val="24"/>
          <w:rtl w:val="0"/>
        </w:rPr>
        <w:t xml:space="preserve">. </w:t>
      </w:r>
      <w:hyperlink r:id="rId13">
        <w:r w:rsidDel="00000000" w:rsidR="00000000" w:rsidRPr="00000000">
          <w:rPr>
            <w:rFonts w:ascii="Open Sans" w:cs="Open Sans" w:eastAsia="Open Sans" w:hAnsi="Open Sans"/>
            <w:color w:val="1155cc"/>
            <w:sz w:val="24"/>
            <w:szCs w:val="24"/>
            <w:u w:val="single"/>
            <w:rtl w:val="0"/>
          </w:rPr>
          <w:t xml:space="preserve">https://www.odpc.go.ke/wp-content/uploads/2024/02/ODPC-Guidance-Note-on-Registration-of-Data-Controllers-and-Data-Processors.pdf</w:t>
        </w:r>
      </w:hyperlink>
      <w:r w:rsidDel="00000000" w:rsidR="00000000" w:rsidRPr="00000000">
        <w:rPr>
          <w:rtl w:val="0"/>
        </w:rPr>
      </w:r>
    </w:p>
    <w:p w:rsidR="00000000" w:rsidDel="00000000" w:rsidP="00000000" w:rsidRDefault="00000000" w:rsidRPr="00000000" w14:paraId="000000D0">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(2024c). </w:t>
      </w:r>
      <w:r w:rsidDel="00000000" w:rsidR="00000000" w:rsidRPr="00000000">
        <w:rPr>
          <w:rFonts w:ascii="Open Sans" w:cs="Open Sans" w:eastAsia="Open Sans" w:hAnsi="Open Sans"/>
          <w:i w:val="1"/>
          <w:iCs w:val="1"/>
          <w:sz w:val="24"/>
          <w:szCs w:val="24"/>
          <w:rtl w:val="0"/>
        </w:rPr>
        <w:t xml:space="preserve">ODPC complaints management manual</w:t>
      </w:r>
      <w:r w:rsidDel="00000000" w:rsidR="00000000" w:rsidRPr="00000000">
        <w:rPr>
          <w:rFonts w:ascii="Open Sans" w:cs="Open Sans" w:eastAsia="Open Sans" w:hAnsi="Open Sans"/>
          <w:sz w:val="24"/>
          <w:szCs w:val="24"/>
          <w:rtl w:val="0"/>
        </w:rPr>
        <w:t xml:space="preserve">. </w:t>
      </w:r>
      <w:hyperlink r:id="rId14">
        <w:r w:rsidDel="00000000" w:rsidR="00000000" w:rsidRPr="00000000">
          <w:rPr>
            <w:rFonts w:ascii="Open Sans" w:cs="Open Sans" w:eastAsia="Open Sans" w:hAnsi="Open Sans"/>
            <w:color w:val="1155cc"/>
            <w:sz w:val="24"/>
            <w:szCs w:val="24"/>
            <w:u w:val="single"/>
            <w:rtl w:val="0"/>
          </w:rPr>
          <w:t xml:space="preserve">https://www.odpc.go.ke/wp-content/uploads/2024/02/ODPC-Complaints-Management-Manual-1.pdf</w:t>
        </w:r>
      </w:hyperlink>
      <w:r w:rsidDel="00000000" w:rsidR="00000000" w:rsidRPr="00000000">
        <w:rPr>
          <w:rtl w:val="0"/>
        </w:rPr>
      </w:r>
    </w:p>
    <w:p w:rsidR="00000000" w:rsidDel="00000000" w:rsidP="00000000" w:rsidRDefault="00000000" w:rsidRPr="00000000" w14:paraId="000000D1">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(2025a). </w:t>
      </w:r>
      <w:r w:rsidDel="00000000" w:rsidR="00000000" w:rsidRPr="00000000">
        <w:rPr>
          <w:rFonts w:ascii="Open Sans" w:cs="Open Sans" w:eastAsia="Open Sans" w:hAnsi="Open Sans"/>
          <w:i w:val="1"/>
          <w:iCs w:val="1"/>
          <w:sz w:val="24"/>
          <w:szCs w:val="24"/>
          <w:rtl w:val="0"/>
        </w:rPr>
        <w:t xml:space="preserve">Data sharing code</w:t>
      </w:r>
      <w:r w:rsidDel="00000000" w:rsidR="00000000" w:rsidRPr="00000000">
        <w:rPr>
          <w:rFonts w:ascii="Open Sans" w:cs="Open Sans" w:eastAsia="Open Sans" w:hAnsi="Open Sans"/>
          <w:sz w:val="24"/>
          <w:szCs w:val="24"/>
          <w:rtl w:val="0"/>
        </w:rPr>
        <w:t xml:space="preserve">. </w:t>
      </w:r>
      <w:hyperlink r:id="rId15">
        <w:r w:rsidDel="00000000" w:rsidR="00000000" w:rsidRPr="00000000">
          <w:rPr>
            <w:rFonts w:ascii="Open Sans" w:cs="Open Sans" w:eastAsia="Open Sans" w:hAnsi="Open Sans"/>
            <w:color w:val="1155cc"/>
            <w:sz w:val="24"/>
            <w:szCs w:val="24"/>
            <w:u w:val="single"/>
            <w:rtl w:val="0"/>
          </w:rPr>
          <w:t xml:space="preserve">https://www.odpc.go.ke/wp-content/uploads/2025/03/FINAL-DATA-SHARING-CODE.pdf</w:t>
        </w:r>
      </w:hyperlink>
      <w:r w:rsidDel="00000000" w:rsidR="00000000" w:rsidRPr="00000000">
        <w:rPr>
          <w:rtl w:val="0"/>
        </w:rPr>
      </w:r>
    </w:p>
    <w:p w:rsidR="00000000" w:rsidDel="00000000" w:rsidP="00000000" w:rsidRDefault="00000000" w:rsidRPr="00000000" w14:paraId="000000D2">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(2025b). </w:t>
      </w:r>
      <w:r w:rsidDel="00000000" w:rsidR="00000000" w:rsidRPr="00000000">
        <w:rPr>
          <w:rFonts w:ascii="Open Sans" w:cs="Open Sans" w:eastAsia="Open Sans" w:hAnsi="Open Sans"/>
          <w:i w:val="1"/>
          <w:iCs w:val="1"/>
          <w:sz w:val="24"/>
          <w:szCs w:val="24"/>
          <w:rtl w:val="0"/>
        </w:rPr>
        <w:t xml:space="preserve">Guidance note on consent</w:t>
      </w:r>
      <w:r w:rsidDel="00000000" w:rsidR="00000000" w:rsidRPr="00000000">
        <w:rPr>
          <w:rFonts w:ascii="Open Sans" w:cs="Open Sans" w:eastAsia="Open Sans" w:hAnsi="Open Sans"/>
          <w:sz w:val="24"/>
          <w:szCs w:val="24"/>
          <w:rtl w:val="0"/>
        </w:rPr>
        <w:t xml:space="preserve">. </w:t>
      </w:r>
      <w:hyperlink r:id="rId16">
        <w:r w:rsidDel="00000000" w:rsidR="00000000" w:rsidRPr="00000000">
          <w:rPr>
            <w:rFonts w:ascii="Open Sans" w:cs="Open Sans" w:eastAsia="Open Sans" w:hAnsi="Open Sans"/>
            <w:color w:val="1155cc"/>
            <w:sz w:val="24"/>
            <w:szCs w:val="24"/>
            <w:u w:val="single"/>
            <w:rtl w:val="0"/>
          </w:rPr>
          <w:t xml:space="preserve">https://www.odpc.go.ke/wp-content/uploads/2025/09/Guidance-note-on-Consent.pdf</w:t>
        </w:r>
      </w:hyperlink>
      <w:r w:rsidDel="00000000" w:rsidR="00000000" w:rsidRPr="00000000">
        <w:rPr>
          <w:rtl w:val="0"/>
        </w:rPr>
      </w:r>
    </w:p>
    <w:p w:rsidR="00000000" w:rsidDel="00000000" w:rsidP="00000000" w:rsidRDefault="00000000" w:rsidRPr="00000000" w14:paraId="000000D3">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(2025c). </w:t>
      </w:r>
      <w:r w:rsidDel="00000000" w:rsidR="00000000" w:rsidRPr="00000000">
        <w:rPr>
          <w:rFonts w:ascii="Open Sans" w:cs="Open Sans" w:eastAsia="Open Sans" w:hAnsi="Open Sans"/>
          <w:i w:val="1"/>
          <w:iCs w:val="1"/>
          <w:sz w:val="24"/>
          <w:szCs w:val="24"/>
          <w:rtl w:val="0"/>
        </w:rPr>
        <w:t xml:space="preserve">Guidance notes for processing children’s data</w:t>
      </w:r>
      <w:r w:rsidDel="00000000" w:rsidR="00000000" w:rsidRPr="00000000">
        <w:rPr>
          <w:rFonts w:ascii="Open Sans" w:cs="Open Sans" w:eastAsia="Open Sans" w:hAnsi="Open Sans"/>
          <w:sz w:val="24"/>
          <w:szCs w:val="24"/>
          <w:rtl w:val="0"/>
        </w:rPr>
        <w:t xml:space="preserve">. </w:t>
      </w:r>
      <w:hyperlink r:id="rId17">
        <w:r w:rsidDel="00000000" w:rsidR="00000000" w:rsidRPr="00000000">
          <w:rPr>
            <w:rFonts w:ascii="Open Sans" w:cs="Open Sans" w:eastAsia="Open Sans" w:hAnsi="Open Sans"/>
            <w:color w:val="1155cc"/>
            <w:sz w:val="24"/>
            <w:szCs w:val="24"/>
            <w:u w:val="single"/>
            <w:rtl w:val="0"/>
          </w:rPr>
          <w:t xml:space="preserve">https://www.odpc.go.ke/wp-content/uploads/2025/11/ODPC-–-Guidance-Note-for-Processing-Childrens-Data.pdf</w:t>
        </w:r>
      </w:hyperlink>
      <w:r w:rsidDel="00000000" w:rsidR="00000000" w:rsidRPr="00000000">
        <w:rPr>
          <w:rtl w:val="0"/>
        </w:rPr>
      </w:r>
    </w:p>
    <w:p w:rsidR="00000000" w:rsidDel="00000000" w:rsidP="00000000" w:rsidRDefault="00000000" w:rsidRPr="00000000" w14:paraId="000000D4">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(2025d). </w:t>
      </w:r>
      <w:r w:rsidDel="00000000" w:rsidR="00000000" w:rsidRPr="00000000">
        <w:rPr>
          <w:rFonts w:ascii="Open Sans" w:cs="Open Sans" w:eastAsia="Open Sans" w:hAnsi="Open Sans"/>
          <w:i w:val="1"/>
          <w:iCs w:val="1"/>
          <w:sz w:val="24"/>
          <w:szCs w:val="24"/>
          <w:rtl w:val="0"/>
        </w:rPr>
        <w:t xml:space="preserve">Guidance notes on biometric data</w:t>
      </w:r>
      <w:r w:rsidDel="00000000" w:rsidR="00000000" w:rsidRPr="00000000">
        <w:rPr>
          <w:rFonts w:ascii="Open Sans" w:cs="Open Sans" w:eastAsia="Open Sans" w:hAnsi="Open Sans"/>
          <w:sz w:val="24"/>
          <w:szCs w:val="24"/>
          <w:rtl w:val="0"/>
        </w:rPr>
        <w:t xml:space="preserve">. </w:t>
      </w:r>
      <w:hyperlink r:id="rId18">
        <w:r w:rsidDel="00000000" w:rsidR="00000000" w:rsidRPr="00000000">
          <w:rPr>
            <w:rFonts w:ascii="Open Sans" w:cs="Open Sans" w:eastAsia="Open Sans" w:hAnsi="Open Sans"/>
            <w:color w:val="1155cc"/>
            <w:sz w:val="24"/>
            <w:szCs w:val="24"/>
            <w:u w:val="single"/>
            <w:rtl w:val="0"/>
          </w:rPr>
          <w:t xml:space="preserve">https://www.odpc.go.ke/wp-content/uploads/2025/11/ODPC-–-Guidance-Note-on-Biometric-Data.pdf</w:t>
        </w:r>
      </w:hyperlink>
      <w:r w:rsidDel="00000000" w:rsidR="00000000" w:rsidRPr="00000000">
        <w:rPr>
          <w:rtl w:val="0"/>
        </w:rPr>
      </w:r>
    </w:p>
    <w:p w:rsidR="00000000" w:rsidDel="00000000" w:rsidP="00000000" w:rsidRDefault="00000000" w:rsidRPr="00000000" w14:paraId="000000D5">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(2025e). </w:t>
      </w:r>
      <w:r w:rsidDel="00000000" w:rsidR="00000000" w:rsidRPr="00000000">
        <w:rPr>
          <w:rFonts w:ascii="Open Sans" w:cs="Open Sans" w:eastAsia="Open Sans" w:hAnsi="Open Sans"/>
          <w:i w:val="1"/>
          <w:iCs w:val="1"/>
          <w:sz w:val="24"/>
          <w:szCs w:val="24"/>
          <w:rtl w:val="0"/>
        </w:rPr>
        <w:t xml:space="preserve">Guidance notes on processing by MSMEs</w:t>
      </w:r>
      <w:r w:rsidDel="00000000" w:rsidR="00000000" w:rsidRPr="00000000">
        <w:rPr>
          <w:rFonts w:ascii="Open Sans" w:cs="Open Sans" w:eastAsia="Open Sans" w:hAnsi="Open Sans"/>
          <w:sz w:val="24"/>
          <w:szCs w:val="24"/>
          <w:rtl w:val="0"/>
        </w:rPr>
        <w:t xml:space="preserve">. </w:t>
      </w:r>
      <w:hyperlink r:id="rId19">
        <w:r w:rsidDel="00000000" w:rsidR="00000000" w:rsidRPr="00000000">
          <w:rPr>
            <w:rFonts w:ascii="Open Sans" w:cs="Open Sans" w:eastAsia="Open Sans" w:hAnsi="Open Sans"/>
            <w:color w:val="1155cc"/>
            <w:sz w:val="24"/>
            <w:szCs w:val="24"/>
            <w:u w:val="single"/>
            <w:rtl w:val="0"/>
          </w:rPr>
          <w:t xml:space="preserve">https://www.odpc.go.ke/wp-content/uploads/2025/11/ODPC-–-Guidance-Note-on-Processing-by-MSMEs.pdf</w:t>
        </w:r>
      </w:hyperlink>
      <w:r w:rsidDel="00000000" w:rsidR="00000000" w:rsidRPr="00000000">
        <w:rPr>
          <w:rtl w:val="0"/>
        </w:rPr>
      </w:r>
    </w:p>
    <w:p w:rsidR="00000000" w:rsidDel="00000000" w:rsidP="00000000" w:rsidRDefault="00000000" w:rsidRPr="00000000" w14:paraId="000000D6">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(2026a). </w:t>
      </w:r>
      <w:r w:rsidDel="00000000" w:rsidR="00000000" w:rsidRPr="00000000">
        <w:rPr>
          <w:rFonts w:ascii="Open Sans" w:cs="Open Sans" w:eastAsia="Open Sans" w:hAnsi="Open Sans"/>
          <w:i w:val="1"/>
          <w:iCs w:val="1"/>
          <w:sz w:val="24"/>
          <w:szCs w:val="24"/>
          <w:rtl w:val="0"/>
        </w:rPr>
        <w:t xml:space="preserve">Guidance notes for data protection officers (DPOs)</w:t>
      </w:r>
      <w:r w:rsidDel="00000000" w:rsidR="00000000" w:rsidRPr="00000000">
        <w:rPr>
          <w:rFonts w:ascii="Open Sans" w:cs="Open Sans" w:eastAsia="Open Sans" w:hAnsi="Open Sans"/>
          <w:sz w:val="24"/>
          <w:szCs w:val="24"/>
          <w:rtl w:val="0"/>
        </w:rPr>
        <w:t xml:space="preserve">. </w:t>
      </w:r>
      <w:hyperlink r:id="rId20">
        <w:r w:rsidDel="00000000" w:rsidR="00000000" w:rsidRPr="00000000">
          <w:rPr>
            <w:rFonts w:ascii="Open Sans" w:cs="Open Sans" w:eastAsia="Open Sans" w:hAnsi="Open Sans"/>
            <w:color w:val="1155cc"/>
            <w:sz w:val="24"/>
            <w:szCs w:val="24"/>
            <w:u w:val="single"/>
            <w:rtl w:val="0"/>
          </w:rPr>
          <w:t xml:space="preserve">https://www.odpc.go.ke/wp-content/uploads/2026/07/ODPC-–-Guidance-Note-for-Data-Protection-Officers-DPOs.pdf</w:t>
        </w:r>
      </w:hyperlink>
      <w:r w:rsidDel="00000000" w:rsidR="00000000" w:rsidRPr="00000000">
        <w:rPr>
          <w:rtl w:val="0"/>
        </w:rPr>
      </w:r>
    </w:p>
    <w:p w:rsidR="00000000" w:rsidDel="00000000" w:rsidP="00000000" w:rsidRDefault="00000000" w:rsidRPr="00000000" w14:paraId="000000D7">
      <w:pPr>
        <w:widowControl w:val="0"/>
        <w:spacing w:after="240" w:before="240" w:lineRule="auto"/>
        <w:ind w:left="283.46456692913375" w:hanging="283.46456692913375"/>
        <w:rPr>
          <w:rFonts w:ascii="Open Sans" w:cs="Open Sans" w:eastAsia="Open Sans" w:hAnsi="Open Sans"/>
          <w:color w:val="1155cc"/>
          <w:sz w:val="24"/>
          <w:szCs w:val="24"/>
          <w:u w:val="single"/>
        </w:rPr>
      </w:pPr>
      <w:r w:rsidDel="00000000" w:rsidR="00000000" w:rsidRPr="00000000">
        <w:rPr>
          <w:rFonts w:ascii="Open Sans" w:cs="Open Sans" w:eastAsia="Open Sans" w:hAnsi="Open Sans"/>
          <w:sz w:val="24"/>
          <w:szCs w:val="24"/>
          <w:rtl w:val="0"/>
        </w:rPr>
        <w:t xml:space="preserve">Office of the Data Protection Commissioner, Kenya. (2026b). </w:t>
      </w:r>
      <w:r w:rsidDel="00000000" w:rsidR="00000000" w:rsidRPr="00000000">
        <w:rPr>
          <w:rFonts w:ascii="Open Sans" w:cs="Open Sans" w:eastAsia="Open Sans" w:hAnsi="Open Sans"/>
          <w:i w:val="1"/>
          <w:iCs w:val="1"/>
          <w:sz w:val="24"/>
          <w:szCs w:val="24"/>
          <w:rtl w:val="0"/>
        </w:rPr>
        <w:t xml:space="preserve">Guidance notes for data protection policies</w:t>
      </w:r>
      <w:r w:rsidDel="00000000" w:rsidR="00000000" w:rsidRPr="00000000">
        <w:rPr>
          <w:rFonts w:ascii="Open Sans" w:cs="Open Sans" w:eastAsia="Open Sans" w:hAnsi="Open Sans"/>
          <w:sz w:val="24"/>
          <w:szCs w:val="24"/>
          <w:rtl w:val="0"/>
        </w:rPr>
        <w:t xml:space="preserve">. </w:t>
      </w:r>
      <w:hyperlink r:id="rId21">
        <w:r w:rsidDel="00000000" w:rsidR="00000000" w:rsidRPr="00000000">
          <w:rPr>
            <w:rFonts w:ascii="Open Sans" w:cs="Open Sans" w:eastAsia="Open Sans" w:hAnsi="Open Sans"/>
            <w:color w:val="1155cc"/>
            <w:sz w:val="24"/>
            <w:szCs w:val="24"/>
            <w:u w:val="single"/>
            <w:rtl w:val="0"/>
          </w:rPr>
          <w:t xml:space="preserve">https://www.odpc.go.ke/wp-content/uploads/2026/07/ODPC-–-Guidance-Note-for-Data-Protection-Policies.pdf</w:t>
        </w:r>
      </w:hyperlink>
      <w:r w:rsidDel="00000000" w:rsidR="00000000" w:rsidRPr="00000000">
        <w:rPr>
          <w:rtl w:val="0"/>
        </w:rPr>
      </w:r>
    </w:p>
    <w:p w:rsidR="00000000" w:rsidDel="00000000" w:rsidP="00000000" w:rsidRDefault="00000000" w:rsidRPr="00000000" w14:paraId="000000D8">
      <w:pPr>
        <w:widowControl w:val="0"/>
        <w:spacing w:after="200" w:lineRule="auto"/>
        <w:ind w:left="283.46456692913375" w:hanging="283.46456692913375"/>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D9">
      <w:pPr>
        <w:widowControl w:val="0"/>
        <w:spacing w:before="259" w:line="240" w:lineRule="auto"/>
        <w:ind w:left="566.9291338582675" w:right="-40.8661417322827" w:hanging="566.9291338582675"/>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DA">
      <w:pPr>
        <w:widowControl w:val="0"/>
        <w:spacing w:before="259" w:line="240" w:lineRule="auto"/>
        <w:ind w:left="566.9291338582675" w:right="-40.8661417322827" w:hanging="566.9291338582675"/>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DB">
      <w:pPr>
        <w:widowControl w:val="0"/>
        <w:spacing w:before="259" w:line="240" w:lineRule="auto"/>
        <w:ind w:left="566.9291338582675" w:right="-40.8661417322827" w:hanging="566.9291338582675"/>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DC">
      <w:pPr>
        <w:widowControl w:val="0"/>
        <w:spacing w:before="158" w:line="288" w:lineRule="auto"/>
        <w:ind w:left="566.9291338582675" w:right="-40.8661417322827"/>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DD">
      <w:pPr>
        <w:widowControl w:val="0"/>
        <w:spacing w:before="158" w:line="288" w:lineRule="auto"/>
        <w:ind w:left="566.9291338582675" w:right="-40.8661417322827" w:hanging="566.9291338582675"/>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DE">
      <w:pPr>
        <w:ind w:left="0" w:right="-40.8661417322827" w:firstLine="0"/>
        <w:rPr/>
      </w:pPr>
      <w:r w:rsidDel="00000000" w:rsidR="00000000" w:rsidRPr="00000000">
        <w:rPr>
          <w:rtl w:val="0"/>
        </w:rPr>
      </w:r>
    </w:p>
    <w:sectPr>
      <w:type w:val="nextPage"/>
      <w:pgSz w:h="16838" w:w="11906" w:orient="portrait"/>
      <w:pgMar w:bottom="1440.0000000000002" w:top="1133.8582677165355" w:left="1440.0000000000002" w:right="1440.0000000000002" w:header="722"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0">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rFonts w:ascii="Open Sans" w:cs="Open Sans" w:eastAsia="Open Sans" w:hAnsi="Open Sans"/>
            <w:i w:val="1"/>
            <w:iCs w:val="1"/>
            <w:sz w:val="18"/>
            <w:szCs w:val="18"/>
            <w:u w:val="single"/>
            <w:rtl w:val="0"/>
          </w:rPr>
          <w:t xml:space="preserve">https://www.odpc</w:t>
        </w:r>
      </w:hyperlink>
      <w:hyperlink r:id="rId2">
        <w:r w:rsidDel="00000000" w:rsidR="00000000" w:rsidRPr="00000000">
          <w:rPr>
            <w:rFonts w:ascii="Open Sans" w:cs="Open Sans" w:eastAsia="Open Sans" w:hAnsi="Open Sans"/>
            <w:i w:val="1"/>
            <w:iCs w:val="1"/>
            <w:sz w:val="18"/>
            <w:szCs w:val="18"/>
            <w:rtl w:val="0"/>
          </w:rPr>
          <w:t xml:space="preserve">.g</w:t>
        </w:r>
      </w:hyperlink>
      <w:hyperlink r:id="rId3">
        <w:r w:rsidDel="00000000" w:rsidR="00000000" w:rsidRPr="00000000">
          <w:rPr>
            <w:rFonts w:ascii="Open Sans" w:cs="Open Sans" w:eastAsia="Open Sans" w:hAnsi="Open Sans"/>
            <w:i w:val="1"/>
            <w:iCs w:val="1"/>
            <w:sz w:val="18"/>
            <w:szCs w:val="18"/>
            <w:u w:val="single"/>
            <w:rtl w:val="0"/>
          </w:rPr>
          <w:t xml:space="preserve">o.ke/wp-content/uploads/2026/07/ODPC-%E2%80%93-Guidance-Note-for-Data-Protection-Officers-DPOs.pd</w:t>
        </w:r>
      </w:hyperlink>
      <w:hyperlink r:id="rId4">
        <w:r w:rsidDel="00000000" w:rsidR="00000000" w:rsidRPr="00000000">
          <w:rPr>
            <w:rFonts w:ascii="Open Sans" w:cs="Open Sans" w:eastAsia="Open Sans" w:hAnsi="Open Sans"/>
            <w:i w:val="1"/>
            <w:iCs w:val="1"/>
            <w:sz w:val="18"/>
            <w:szCs w:val="18"/>
            <w:rtl w:val="0"/>
          </w:rPr>
          <w:t xml:space="preserve">f</w:t>
        </w:r>
      </w:hyperlink>
      <w:r w:rsidDel="00000000" w:rsidR="00000000" w:rsidRPr="00000000">
        <w:rPr>
          <w:rtl w:val="0"/>
        </w:rPr>
      </w:r>
    </w:p>
  </w:footnote>
  <w:footnote w:id="1">
    <w:p w:rsidR="00000000" w:rsidDel="00000000" w:rsidP="00000000" w:rsidRDefault="00000000" w:rsidRPr="00000000" w14:paraId="000000E1">
      <w:pPr>
        <w:spacing w:line="240" w:lineRule="auto"/>
        <w:rPr>
          <w:sz w:val="20"/>
          <w:szCs w:val="20"/>
        </w:rPr>
      </w:pPr>
      <w:r w:rsidDel="00000000" w:rsidR="00000000" w:rsidRPr="00000000">
        <w:rPr>
          <w:rStyle w:val="FootnoteReference"/>
          <w:vertAlign w:val="superscript"/>
        </w:rPr>
        <w:footnoteRef/>
      </w:r>
      <w:hyperlink r:id="rId5">
        <w:r w:rsidDel="00000000" w:rsidR="00000000" w:rsidRPr="00000000">
          <w:rPr>
            <w:rFonts w:ascii="Open Sans" w:cs="Open Sans" w:eastAsia="Open Sans" w:hAnsi="Open Sans"/>
            <w:i w:val="1"/>
            <w:iCs w:val="1"/>
            <w:sz w:val="18"/>
            <w:szCs w:val="18"/>
            <w:u w:val="single"/>
            <w:rtl w:val="0"/>
          </w:rPr>
          <w:t xml:space="preserve">https://www.odpc</w:t>
        </w:r>
      </w:hyperlink>
      <w:hyperlink r:id="rId6">
        <w:r w:rsidDel="00000000" w:rsidR="00000000" w:rsidRPr="00000000">
          <w:rPr>
            <w:rFonts w:ascii="Open Sans" w:cs="Open Sans" w:eastAsia="Open Sans" w:hAnsi="Open Sans"/>
            <w:i w:val="1"/>
            <w:iCs w:val="1"/>
            <w:sz w:val="18"/>
            <w:szCs w:val="18"/>
            <w:rtl w:val="0"/>
          </w:rPr>
          <w:t xml:space="preserve">.g</w:t>
        </w:r>
      </w:hyperlink>
      <w:hyperlink r:id="rId7">
        <w:r w:rsidDel="00000000" w:rsidR="00000000" w:rsidRPr="00000000">
          <w:rPr>
            <w:rFonts w:ascii="Open Sans" w:cs="Open Sans" w:eastAsia="Open Sans" w:hAnsi="Open Sans"/>
            <w:i w:val="1"/>
            <w:iCs w:val="1"/>
            <w:sz w:val="18"/>
            <w:szCs w:val="18"/>
            <w:u w:val="single"/>
            <w:rtl w:val="0"/>
          </w:rPr>
          <w:t xml:space="preserve">o.ke/wp-content/uploads/2025/11/ODPC-%E2%80%93-Guidance-Note-on-Processing-by-MSMEs.pd</w:t>
        </w:r>
      </w:hyperlink>
      <w:hyperlink r:id="rId8">
        <w:r w:rsidDel="00000000" w:rsidR="00000000" w:rsidRPr="00000000">
          <w:rPr>
            <w:rFonts w:ascii="Open Sans" w:cs="Open Sans" w:eastAsia="Open Sans" w:hAnsi="Open Sans"/>
            <w:i w:val="1"/>
            <w:iCs w:val="1"/>
            <w:sz w:val="18"/>
            <w:szCs w:val="18"/>
            <w:rtl w:val="0"/>
          </w:rPr>
          <w:t xml:space="preserve">f</w:t>
        </w:r>
      </w:hyperlink>
      <w:r w:rsidDel="00000000" w:rsidR="00000000" w:rsidRPr="00000000">
        <w:rPr>
          <w:rtl w:val="0"/>
        </w:rPr>
      </w:r>
    </w:p>
  </w:footnote>
  <w:footnote w:id="2">
    <w:p w:rsidR="00000000" w:rsidDel="00000000" w:rsidP="00000000" w:rsidRDefault="00000000" w:rsidRPr="00000000" w14:paraId="000000E2">
      <w:pPr>
        <w:spacing w:line="240" w:lineRule="auto"/>
        <w:rPr>
          <w:sz w:val="20"/>
          <w:szCs w:val="20"/>
        </w:rPr>
      </w:pPr>
      <w:r w:rsidDel="00000000" w:rsidR="00000000" w:rsidRPr="00000000">
        <w:rPr>
          <w:rStyle w:val="FootnoteReference"/>
          <w:vertAlign w:val="superscript"/>
        </w:rPr>
        <w:footnoteRef/>
      </w:r>
      <w:hyperlink r:id="rId9">
        <w:r w:rsidDel="00000000" w:rsidR="00000000" w:rsidRPr="00000000">
          <w:rPr>
            <w:rFonts w:ascii="Open Sans" w:cs="Open Sans" w:eastAsia="Open Sans" w:hAnsi="Open Sans"/>
            <w:i w:val="1"/>
            <w:iCs w:val="1"/>
            <w:sz w:val="18"/>
            <w:szCs w:val="18"/>
            <w:rtl w:val="0"/>
          </w:rPr>
          <w:t xml:space="preserve">https://www.odpc.go.ke/wp-content/uploads/2024/02/ODPC-Guidance-Note-on-Data-Protection-Impact-Assessment-1.pdf</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Open Sans" w:cs="Open Sans" w:eastAsia="Open Sans" w:hAnsi="Open Sans"/>
        <w:b w:val="1"/>
        <w:bCs w:val="1"/>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odpc.go.ke/wp-content/uploads/2026/07/ODPC-%E2%80%93-Guidance-Note-for-Data-Protection-Officers-DPOs.pdf" TargetMode="External"/><Relationship Id="rId11" Type="http://schemas.openxmlformats.org/officeDocument/2006/relationships/hyperlink" Target="https://www.odpc.go.ke/guidelines-2/" TargetMode="External"/><Relationship Id="rId10" Type="http://schemas.openxmlformats.org/officeDocument/2006/relationships/hyperlink" Target="https://www.iso.org/standard/56639.html" TargetMode="External"/><Relationship Id="rId21" Type="http://schemas.openxmlformats.org/officeDocument/2006/relationships/hyperlink" Target="https://www.odpc.go.ke/wp-content/uploads/2026/07/ODPC-%E2%80%93-Guidance-Note-for-Data-Protection-Policies.pdf" TargetMode="External"/><Relationship Id="rId13" Type="http://schemas.openxmlformats.org/officeDocument/2006/relationships/hyperlink" Target="https://www.odpc.go.ke/wp-content/uploads/2024/02/ODPC-Guidance-Note-on-Registration-of-Data-Controllers-and-Data-Processors.pdf" TargetMode="External"/><Relationship Id="rId12" Type="http://schemas.openxmlformats.org/officeDocument/2006/relationships/hyperlink" Target="https://www.odpc.go.ke/wp-content/uploads/2024/02/ODPC-Guidance-Note-on-Data-Protection-Impact-Assessment-1.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5" Type="http://schemas.openxmlformats.org/officeDocument/2006/relationships/hyperlink" Target="https://www.odpc.go.ke/wp-content/uploads/2025/03/FINAL-DATA-SHARING-CODE.pdf" TargetMode="External"/><Relationship Id="rId14" Type="http://schemas.openxmlformats.org/officeDocument/2006/relationships/hyperlink" Target="https://www.odpc.go.ke/wp-content/uploads/2024/02/ODPC-Complaints-Management-Manual-1.pdf" TargetMode="External"/><Relationship Id="rId17" Type="http://schemas.openxmlformats.org/officeDocument/2006/relationships/hyperlink" Target="https://www.odpc.go.ke/wp-content/uploads/2025/11/ODPC-%E2%80%93-Guidance-Note-for-Processing-Childrens-Data.pdf" TargetMode="External"/><Relationship Id="rId16" Type="http://schemas.openxmlformats.org/officeDocument/2006/relationships/hyperlink" Target="https://www.odpc.go.ke/wp-content/uploads/2025/09/Guidance-note-on-Consent.pdf" TargetMode="External"/><Relationship Id="rId5" Type="http://schemas.openxmlformats.org/officeDocument/2006/relationships/numbering" Target="numbering.xml"/><Relationship Id="rId19" Type="http://schemas.openxmlformats.org/officeDocument/2006/relationships/hyperlink" Target="https://www.odpc.go.ke/wp-content/uploads/2025/11/ODPC-%E2%80%93-Guidance-Note-on-Processing-by-MSMEs.pdf" TargetMode="External"/><Relationship Id="rId6" Type="http://schemas.openxmlformats.org/officeDocument/2006/relationships/styles" Target="styles.xml"/><Relationship Id="rId18" Type="http://schemas.openxmlformats.org/officeDocument/2006/relationships/hyperlink" Target="https://www.odpc.go.ke/wp-content/uploads/2025/11/ODPC-%E2%80%93-Guidance-Note-on-Biometric-Data.pdf" TargetMode="External"/><Relationship Id="rId7" Type="http://schemas.openxmlformats.org/officeDocument/2006/relationships/hyperlink" Target="http://www.odpc.go.ke/" TargetMode="External"/><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odpc.go.ke/wp-content/uploads/2026/07/ODPC-%E2%80%93-Guidance-Note-for-Data-Protection-Officers-DPOs.pdf" TargetMode="External"/><Relationship Id="rId2" Type="http://schemas.openxmlformats.org/officeDocument/2006/relationships/hyperlink" Target="https://www.odpc.go.ke/wp-content/uploads/2026/07/ODPC-%E2%80%93-Guidance-Note-for-Data-Protection-Officers-DPOs.pdf" TargetMode="External"/><Relationship Id="rId3" Type="http://schemas.openxmlformats.org/officeDocument/2006/relationships/hyperlink" Target="https://www.odpc.go.ke/wp-content/uploads/2026/07/ODPC-%E2%80%93-Guidance-Note-for-Data-Protection-Officers-DPOs.pdf" TargetMode="External"/><Relationship Id="rId4" Type="http://schemas.openxmlformats.org/officeDocument/2006/relationships/hyperlink" Target="https://www.odpc.go.ke/wp-content/uploads/2026/07/ODPC-%E2%80%93-Guidance-Note-for-Data-Protection-Officers-DPOs.pdf" TargetMode="External"/><Relationship Id="rId9" Type="http://schemas.openxmlformats.org/officeDocument/2006/relationships/hyperlink" Target="https://www.odpc.go.ke/wp-content/uploads/2024/02/ODPC-Guidance-Note-on-Data-Protection-Impact-Assessment-1.pdf" TargetMode="External"/><Relationship Id="rId5" Type="http://schemas.openxmlformats.org/officeDocument/2006/relationships/hyperlink" Target="https://www.odpc.go.ke/wp-content/uploads/2025/11/ODPC-%E2%80%93-Guidance-Note-on-Processing-by-MSMEs.pdf" TargetMode="External"/><Relationship Id="rId6" Type="http://schemas.openxmlformats.org/officeDocument/2006/relationships/hyperlink" Target="https://www.odpc.go.ke/wp-content/uploads/2025/11/ODPC-%E2%80%93-Guidance-Note-on-Processing-by-MSMEs.pdf" TargetMode="External"/><Relationship Id="rId7" Type="http://schemas.openxmlformats.org/officeDocument/2006/relationships/hyperlink" Target="https://www.odpc.go.ke/wp-content/uploads/2025/11/ODPC-%E2%80%93-Guidance-Note-on-Processing-by-MSMEs.pdf" TargetMode="External"/><Relationship Id="rId8" Type="http://schemas.openxmlformats.org/officeDocument/2006/relationships/hyperlink" Target="https://www.odpc.go.ke/wp-content/uploads/2025/11/ODPC-%E2%80%93-Guidance-Note-on-Processing-by-MSM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